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32"/>
              </w:rPr>
              <w:t xml:space="preserve">Приказ Минэнерго России от 28.12.2020 N 1195</w:t>
              <w:br/>
              <w:t xml:space="preserve">(ред. от 28.04.2023)</w:t>
              <w:br/>
              <w:t xml:space="preserve">"Об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от 8 февраля 2019 г. N 81 "Об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w:t>
              <w:br/>
              <w:t xml:space="preserve">(Зарегистрировано в Минюсте России 27.04.2021 N 63248)</w:t>
              <w:br/>
              <w:t xml:space="preserve">(с изм. и доп., вступ. в силу с 01.01.2024)</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27 апреля 2021 г. N 63248</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ЭНЕРГЕТИКИ РОССИЙСКОЙ ФЕДЕРАЦИИ</w:t>
      </w:r>
    </w:p>
    <w:p>
      <w:pPr>
        <w:pStyle w:val="2"/>
        <w:jc w:val="both"/>
      </w:pPr>
      <w:r>
        <w:rPr>
          <w:sz w:val="24"/>
        </w:rPr>
      </w:r>
    </w:p>
    <w:p>
      <w:pPr>
        <w:pStyle w:val="2"/>
        <w:jc w:val="center"/>
      </w:pPr>
      <w:r>
        <w:rPr>
          <w:sz w:val="24"/>
        </w:rPr>
        <w:t xml:space="preserve">ПРИКАЗ</w:t>
      </w:r>
    </w:p>
    <w:p>
      <w:pPr>
        <w:pStyle w:val="2"/>
        <w:jc w:val="center"/>
      </w:pPr>
      <w:r>
        <w:rPr>
          <w:sz w:val="24"/>
        </w:rPr>
        <w:t xml:space="preserve">от 28 декабря 2020 г. N 1195</w:t>
      </w:r>
    </w:p>
    <w:p>
      <w:pPr>
        <w:pStyle w:val="2"/>
        <w:jc w:val="both"/>
      </w:pPr>
      <w:r>
        <w:rPr>
          <w:sz w:val="24"/>
        </w:rPr>
      </w:r>
    </w:p>
    <w:p>
      <w:pPr>
        <w:pStyle w:val="2"/>
        <w:jc w:val="center"/>
      </w:pPr>
      <w:r>
        <w:rPr>
          <w:sz w:val="24"/>
        </w:rPr>
        <w:t xml:space="preserve">ОБ УТВЕРЖДЕНИИ ПРАВИЛ</w:t>
      </w:r>
    </w:p>
    <w:p>
      <w:pPr>
        <w:pStyle w:val="2"/>
        <w:jc w:val="center"/>
      </w:pPr>
      <w:r>
        <w:rPr>
          <w:sz w:val="24"/>
        </w:rPr>
        <w:t xml:space="preserve">РАЗРАБОТКИ И СОГЛАСОВАНИЯ СХЕМ ВЫДАЧИ МОЩНОСТИ</w:t>
      </w:r>
    </w:p>
    <w:p>
      <w:pPr>
        <w:pStyle w:val="2"/>
        <w:jc w:val="center"/>
      </w:pPr>
      <w:r>
        <w:rPr>
          <w:sz w:val="24"/>
        </w:rPr>
        <w:t xml:space="preserve">ОБЪЕКТОВ ПО ПРОИЗВОДСТВУ ЭЛЕКТРИЧЕСКОЙ ЭНЕРГИИ И СХЕМ</w:t>
      </w:r>
    </w:p>
    <w:p>
      <w:pPr>
        <w:pStyle w:val="2"/>
        <w:jc w:val="center"/>
      </w:pPr>
      <w:r>
        <w:rPr>
          <w:sz w:val="24"/>
        </w:rPr>
        <w:t xml:space="preserve">ВНЕШНЕГО ЭЛЕКТРОСНАБЖЕНИЯ ЭНЕРГОПРИНИМАЮЩИХ УСТРОЙСТВ</w:t>
      </w:r>
    </w:p>
    <w:p>
      <w:pPr>
        <w:pStyle w:val="2"/>
        <w:jc w:val="center"/>
      </w:pPr>
      <w:r>
        <w:rPr>
          <w:sz w:val="24"/>
        </w:rPr>
        <w:t xml:space="preserve">ПОТРЕБИТЕЛЕЙ ЭЛЕКТРИЧЕСКОЙ ЭНЕРГИИ И О ВНЕСЕНИИ ИЗМЕНЕНИЙ</w:t>
      </w:r>
    </w:p>
    <w:p>
      <w:pPr>
        <w:pStyle w:val="2"/>
        <w:jc w:val="center"/>
      </w:pPr>
      <w:r>
        <w:rPr>
          <w:sz w:val="24"/>
        </w:rPr>
        <w:t xml:space="preserve">В ПРИКАЗЫ МИНЭНЕРГО РОССИИ ОТ 3 АВГУСТА 2018 Г. N 630</w:t>
      </w:r>
    </w:p>
    <w:p>
      <w:pPr>
        <w:pStyle w:val="2"/>
        <w:jc w:val="center"/>
      </w:pPr>
      <w:r>
        <w:rPr>
          <w:sz w:val="24"/>
        </w:rPr>
        <w:t xml:space="preserve">"ОБ УТВЕРЖДЕНИИ ТРЕБОВАНИЙ К ОБЕСПЕЧЕНИЮ НАДЕЖНОСТИ</w:t>
      </w:r>
    </w:p>
    <w:p>
      <w:pPr>
        <w:pStyle w:val="2"/>
        <w:jc w:val="center"/>
      </w:pPr>
      <w:r>
        <w:rPr>
          <w:sz w:val="24"/>
        </w:rPr>
        <w:t xml:space="preserve">ЭЛЕКТРОЭНЕРГЕТИЧЕСКИХ СИСТЕМ, НАДЕЖНОСТИ И БЕЗОПАСНОСТИ</w:t>
      </w:r>
    </w:p>
    <w:p>
      <w:pPr>
        <w:pStyle w:val="2"/>
        <w:jc w:val="center"/>
      </w:pPr>
      <w:r>
        <w:rPr>
          <w:sz w:val="24"/>
        </w:rPr>
        <w:t xml:space="preserve">ОБЪЕКТОВ ЭЛЕКТРОЭНЕРГЕТИКИ И ЭНЕРГОПРИНИМАЮЩИХ УСТАНОВОК</w:t>
      </w:r>
    </w:p>
    <w:p>
      <w:pPr>
        <w:pStyle w:val="2"/>
        <w:jc w:val="center"/>
      </w:pPr>
      <w:r>
        <w:rPr>
          <w:sz w:val="24"/>
        </w:rPr>
        <w:t xml:space="preserve">"МЕТОДИЧЕСКИЕ УКАЗАНИЯ ПО УСТОЙЧИВОСТИ ЭНЕРГОСИСТЕМ",</w:t>
      </w:r>
    </w:p>
    <w:p>
      <w:pPr>
        <w:pStyle w:val="2"/>
        <w:jc w:val="center"/>
      </w:pPr>
      <w:r>
        <w:rPr>
          <w:sz w:val="24"/>
        </w:rPr>
        <w:t xml:space="preserve">ОТ 8 ФЕВРАЛЯ 2019 Г. N 81 "ОБ УТВЕРЖДЕНИИ ТРЕБОВАНИЙ</w:t>
      </w:r>
    </w:p>
    <w:p>
      <w:pPr>
        <w:pStyle w:val="2"/>
        <w:jc w:val="center"/>
      </w:pPr>
      <w:r>
        <w:rPr>
          <w:sz w:val="24"/>
        </w:rPr>
        <w:t xml:space="preserve">К ПЕРЕГРУЗОЧНОЙ СПОСОБНОСТИ ТРАНСФОРМАТОРОВ</w:t>
      </w:r>
    </w:p>
    <w:p>
      <w:pPr>
        <w:pStyle w:val="2"/>
        <w:jc w:val="center"/>
      </w:pPr>
      <w:r>
        <w:rPr>
          <w:sz w:val="24"/>
        </w:rPr>
        <w:t xml:space="preserve">И АВТОТРАНСФОРМАТОРОВ, УСТАНОВЛЕННЫХ НА ОБЪЕКТАХ</w:t>
      </w:r>
    </w:p>
    <w:p>
      <w:pPr>
        <w:pStyle w:val="2"/>
        <w:jc w:val="center"/>
      </w:pPr>
      <w:r>
        <w:rPr>
          <w:sz w:val="24"/>
        </w:rPr>
        <w:t xml:space="preserve">ЭЛЕКТРОЭНЕРГЕТИКИ, И ЕЕ ПОДДЕРЖАНИЮ И О ВНЕСЕНИИ ИЗМЕНЕНИЙ</w:t>
      </w:r>
    </w:p>
    <w:p>
      <w:pPr>
        <w:pStyle w:val="2"/>
        <w:jc w:val="center"/>
      </w:pPr>
      <w:r>
        <w:rPr>
          <w:sz w:val="24"/>
        </w:rPr>
        <w:t xml:space="preserve">В ПРАВИЛА ТЕХНИЧЕСКОЙ ЭКСПЛУАТАЦИИ ЭЛЕКТРИЧЕСКИХ СТАНЦИЙ</w:t>
      </w:r>
    </w:p>
    <w:p>
      <w:pPr>
        <w:pStyle w:val="2"/>
        <w:jc w:val="center"/>
      </w:pPr>
      <w:r>
        <w:rPr>
          <w:sz w:val="24"/>
        </w:rPr>
        <w:t xml:space="preserve">И СЕТЕЙ РОССИЙСКОЙ ФЕДЕРАЦИИ, УТВЕРЖДЕННЫЕ ПРИКАЗОМ</w:t>
      </w:r>
    </w:p>
    <w:p>
      <w:pPr>
        <w:pStyle w:val="2"/>
        <w:jc w:val="center"/>
      </w:pPr>
      <w:r>
        <w:rPr>
          <w:sz w:val="24"/>
        </w:rPr>
        <w:t xml:space="preserve">МИНЭНЕРГО РОССИИ ОТ 19 ИЮНЯ 2003 Г. N 229"</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06.12.2022 </w:t>
            </w:r>
            <w:hyperlink w:history="0" r:id="rId8"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N 1286</w:t>
              </w:r>
            </w:hyperlink>
            <w:r>
              <w:rPr>
                <w:sz w:val="24"/>
                <w:color w:val="392c69"/>
              </w:rPr>
              <w:t xml:space="preserve">,</w:t>
            </w:r>
          </w:p>
          <w:p>
            <w:pPr>
              <w:pStyle w:val="0"/>
              <w:jc w:val="center"/>
            </w:pPr>
            <w:r>
              <w:rPr>
                <w:sz w:val="24"/>
                <w:color w:val="392c69"/>
              </w:rPr>
              <w:t xml:space="preserve">от 17.02.2023 </w:t>
            </w:r>
            <w:hyperlink w:history="0" r:id="rId9"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N 82</w:t>
              </w:r>
            </w:hyperlink>
            <w:r>
              <w:rPr>
                <w:sz w:val="24"/>
                <w:color w:val="392c69"/>
              </w:rPr>
              <w:t xml:space="preserve">, от 28.04.2023 </w:t>
            </w:r>
            <w:hyperlink w:history="0" r:id="rId10"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N 289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11"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подпунктом "г" пункта 2</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(Собрание законодательства Российской Федерации, 2018, N 34, ст. 5483) и </w:t>
      </w:r>
      <w:hyperlink w:history="0" r:id="rId12"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пунктами 1</w:t>
        </w:r>
      </w:hyperlink>
      <w:r>
        <w:rPr>
          <w:sz w:val="24"/>
        </w:rPr>
        <w:t xml:space="preserve"> и </w:t>
      </w:r>
      <w:hyperlink w:history="0" r:id="rId13"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2(1)</w:t>
        </w:r>
      </w:hyperlink>
      <w:r>
        <w:rPr>
          <w:sz w:val="24"/>
        </w:rPr>
        <w:t xml:space="preserve"> постановления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(Собрание законодательства Российской Федерации, 2017, N 11, ст. 1562; 2018, N 34, ст. 5483) приказываю:</w:t>
      </w:r>
    </w:p>
    <w:p>
      <w:pPr>
        <w:pStyle w:val="0"/>
        <w:spacing w:before="240" w:lineRule="auto"/>
        <w:ind w:firstLine="540"/>
        <w:jc w:val="both"/>
      </w:pPr>
      <w:r>
        <w:rPr>
          <w:sz w:val="24"/>
        </w:rPr>
        <w:t xml:space="preserve">1. Утвердить:</w:t>
      </w:r>
    </w:p>
    <w:p>
      <w:pPr>
        <w:pStyle w:val="0"/>
        <w:spacing w:before="240" w:lineRule="auto"/>
        <w:ind w:firstLine="540"/>
        <w:jc w:val="both"/>
      </w:pPr>
      <w:hyperlink w:history="0" w:anchor="P48" w:tooltip="ПРАВИЛА">
        <w:r>
          <w:rPr>
            <w:sz w:val="24"/>
            <w:color w:val="0000ff"/>
          </w:rPr>
          <w:t xml:space="preserve">Правила</w:t>
        </w:r>
      </w:hyperlink>
      <w:r>
        <w:rPr>
          <w:sz w:val="24"/>
        </w:rPr>
        <w:t xml:space="preserve">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согласно приложению N 1;</w:t>
      </w:r>
    </w:p>
    <w:p>
      <w:pPr>
        <w:pStyle w:val="0"/>
        <w:spacing w:before="240" w:lineRule="auto"/>
        <w:ind w:firstLine="540"/>
        <w:jc w:val="both"/>
      </w:pPr>
      <w:hyperlink w:history="0" w:anchor="P452" w:tooltip="ИЗМЕНЕНИЯ,">
        <w:r>
          <w:rPr>
            <w:sz w:val="24"/>
            <w:color w:val="0000ff"/>
          </w:rPr>
          <w:t xml:space="preserve">изменения</w:t>
        </w:r>
      </w:hyperlink>
      <w:r>
        <w:rPr>
          <w:sz w:val="24"/>
        </w:rPr>
        <w:t xml:space="preserve">, которые вносятся в приказы Минэнерго России от 3 августа 2018 г. N 630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от 8 февраля 2019 г. N 81 "Об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 согласно приложению N 2.</w:t>
      </w:r>
    </w:p>
    <w:p>
      <w:pPr>
        <w:pStyle w:val="0"/>
        <w:spacing w:before="240" w:lineRule="auto"/>
        <w:ind w:firstLine="540"/>
        <w:jc w:val="both"/>
      </w:pPr>
      <w:r>
        <w:rPr>
          <w:sz w:val="24"/>
        </w:rPr>
        <w:t xml:space="preserve">2. Настоящий приказ вступает в силу с 1 сентября 2021 г.</w:t>
      </w:r>
    </w:p>
    <w:p>
      <w:pPr>
        <w:pStyle w:val="0"/>
        <w:jc w:val="both"/>
      </w:pPr>
      <w:r>
        <w:rPr>
          <w:sz w:val="24"/>
        </w:rPr>
        <w:t xml:space="preserve">(в ред. </w:t>
      </w:r>
      <w:hyperlink w:history="0" r:id="rId14"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Приказа</w:t>
        </w:r>
      </w:hyperlink>
      <w:r>
        <w:rPr>
          <w:sz w:val="24"/>
        </w:rPr>
        <w:t xml:space="preserve"> Минэнерго России от 06.12.2022 N 1286)</w:t>
      </w:r>
    </w:p>
    <w:p>
      <w:pPr>
        <w:pStyle w:val="0"/>
        <w:jc w:val="both"/>
      </w:pPr>
      <w:r>
        <w:rPr>
          <w:sz w:val="24"/>
        </w:rPr>
      </w:r>
    </w:p>
    <w:p>
      <w:pPr>
        <w:pStyle w:val="0"/>
        <w:jc w:val="right"/>
      </w:pPr>
      <w:r>
        <w:rPr>
          <w:sz w:val="24"/>
        </w:rPr>
        <w:t xml:space="preserve">Министр</w:t>
      </w:r>
    </w:p>
    <w:p>
      <w:pPr>
        <w:pStyle w:val="0"/>
        <w:jc w:val="right"/>
      </w:pPr>
      <w:r>
        <w:rPr>
          <w:sz w:val="24"/>
        </w:rPr>
        <w:t xml:space="preserve">Н.Г.ШУЛЬГИНОВ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w:t>
      </w:r>
    </w:p>
    <w:p>
      <w:pPr>
        <w:pStyle w:val="0"/>
        <w:jc w:val="right"/>
      </w:pPr>
      <w:r>
        <w:rPr>
          <w:sz w:val="24"/>
        </w:rPr>
        <w:t xml:space="preserve">к приказу Минэнерго России</w:t>
      </w:r>
    </w:p>
    <w:p>
      <w:pPr>
        <w:pStyle w:val="0"/>
        <w:jc w:val="right"/>
      </w:pPr>
      <w:r>
        <w:rPr>
          <w:sz w:val="24"/>
        </w:rPr>
        <w:t xml:space="preserve">от 28.12.2020 N 1195</w:t>
      </w:r>
    </w:p>
    <w:p>
      <w:pPr>
        <w:pStyle w:val="0"/>
        <w:jc w:val="both"/>
      </w:pPr>
      <w:r>
        <w:rPr>
          <w:sz w:val="24"/>
        </w:rPr>
      </w:r>
    </w:p>
    <w:bookmarkStart w:id="48" w:name="P48"/>
    <w:bookmarkEnd w:id="48"/>
    <w:p>
      <w:pPr>
        <w:pStyle w:val="2"/>
        <w:jc w:val="center"/>
      </w:pPr>
      <w:r>
        <w:rPr>
          <w:sz w:val="24"/>
        </w:rPr>
        <w:t xml:space="preserve">ПРАВИЛА</w:t>
      </w:r>
    </w:p>
    <w:p>
      <w:pPr>
        <w:pStyle w:val="2"/>
        <w:jc w:val="center"/>
      </w:pPr>
      <w:r>
        <w:rPr>
          <w:sz w:val="24"/>
        </w:rPr>
        <w:t xml:space="preserve">РАЗРАБОТКИ И СОГЛАСОВАНИЯ СХЕМ ВЫДАЧИ МОЩНОСТИ</w:t>
      </w:r>
    </w:p>
    <w:p>
      <w:pPr>
        <w:pStyle w:val="2"/>
        <w:jc w:val="center"/>
      </w:pPr>
      <w:r>
        <w:rPr>
          <w:sz w:val="24"/>
        </w:rPr>
        <w:t xml:space="preserve">ОБЪЕКТОВ ПО ПРОИЗВОДСТВУ ЭЛЕКТРИЧЕСКОЙ ЭНЕРГИИ И СХЕМ</w:t>
      </w:r>
    </w:p>
    <w:p>
      <w:pPr>
        <w:pStyle w:val="2"/>
        <w:jc w:val="center"/>
      </w:pPr>
      <w:r>
        <w:rPr>
          <w:sz w:val="24"/>
        </w:rPr>
        <w:t xml:space="preserve">ВНЕШНЕГО ЭЛЕКТРОСНАБЖЕНИЯ ЭНЕРГОПРИНИМАЮЩИХ УСТРОЙСТВ</w:t>
      </w:r>
    </w:p>
    <w:p>
      <w:pPr>
        <w:pStyle w:val="2"/>
        <w:jc w:val="center"/>
      </w:pPr>
      <w:r>
        <w:rPr>
          <w:sz w:val="24"/>
        </w:rPr>
        <w:t xml:space="preserve">ПОТРЕБИТЕЛЕЙ ЭЛЕКТРИЧЕСКОЙ ЭНЕРГИИ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06.12.2022 </w:t>
            </w:r>
            <w:hyperlink w:history="0" r:id="rId15"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N 1286</w:t>
              </w:r>
            </w:hyperlink>
            <w:r>
              <w:rPr>
                <w:sz w:val="24"/>
                <w:color w:val="392c69"/>
              </w:rPr>
              <w:t xml:space="preserve">,</w:t>
            </w:r>
          </w:p>
          <w:p>
            <w:pPr>
              <w:pStyle w:val="0"/>
              <w:jc w:val="center"/>
            </w:pPr>
            <w:r>
              <w:rPr>
                <w:sz w:val="24"/>
                <w:color w:val="392c69"/>
              </w:rPr>
              <w:t xml:space="preserve">от 17.02.2023 </w:t>
            </w:r>
            <w:hyperlink w:history="0" r:id="rId16"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N 82</w:t>
              </w:r>
            </w:hyperlink>
            <w:r>
              <w:rPr>
                <w:sz w:val="24"/>
                <w:color w:val="392c69"/>
              </w:rPr>
              <w:t xml:space="preserve">, от 28.04.2023 </w:t>
            </w:r>
            <w:hyperlink w:history="0" r:id="rId17"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N 289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(далее - Правила) устанавливают требования к разработке схем выдачи мощности объектов по производству электрической энергии (далее - схема выдачи мощности), схем внешнего электроснабжения энергопринимающих устройств потребителей электрической энергии (далее - схема внешнего электроснабжения) и порядок взаимодействия субъектов электроэнергетики, потребителей электрической энергии при их согласовании.</w:t>
      </w:r>
    </w:p>
    <w:p>
      <w:pPr>
        <w:pStyle w:val="0"/>
        <w:spacing w:before="240" w:lineRule="auto"/>
        <w:ind w:firstLine="540"/>
        <w:jc w:val="both"/>
      </w:pPr>
      <w:r>
        <w:rPr>
          <w:sz w:val="24"/>
        </w:rPr>
        <w:t xml:space="preserve">2. Выполнение требований Правил является обязательным для:</w:t>
      </w:r>
    </w:p>
    <w:p>
      <w:pPr>
        <w:pStyle w:val="0"/>
        <w:spacing w:before="240" w:lineRule="auto"/>
        <w:ind w:firstLine="540"/>
        <w:jc w:val="both"/>
      </w:pPr>
      <w:r>
        <w:rPr>
          <w:sz w:val="24"/>
        </w:rPr>
        <w:t xml:space="preserve">юридических и физических лиц, имеющих намерение осуществить технологическое присоединение к электрическим сетям объекта по производству электрической энергии или энергопринимающих устройств по основаниям, предусмотренным </w:t>
      </w:r>
      <w:hyperlink w:history="0" r:id="rId18"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пунктом 2</w:t>
        </w:r>
      </w:hyperlink>
      <w:r>
        <w:rPr>
          <w:sz w:val="24"/>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(Собрание законодательства Российской Федерации, 2004, N 52 (часть 2), ст. 5525; 2019, N 23, ст. 2940) (далее - Правила технологического присоединения, заявитель соответственно);</w:t>
      </w:r>
    </w:p>
    <w:p>
      <w:pPr>
        <w:pStyle w:val="0"/>
        <w:spacing w:before="240" w:lineRule="auto"/>
        <w:ind w:firstLine="540"/>
        <w:jc w:val="both"/>
      </w:pPr>
      <w:r>
        <w:rPr>
          <w:sz w:val="24"/>
        </w:rPr>
        <w:t xml:space="preserve">сетевых организаций, соответствующих установленным </w:t>
      </w:r>
      <w:hyperlink w:history="0" r:id="rId19"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требованиям к определению сетевой организации, в которую должна быть подана заявка на технологическое присоединение к электрическим сетям соответствующего объекта по производству электрической энергии или энергопринимающего устройства, а также иных собственников и законных владельцев объектов электросетевого хозяйства, в том числе входящих в состав объекта по производству электрической энергии, в случаях когда в соответствии с требованиями </w:t>
      </w:r>
      <w:hyperlink w:history="0" r:id="rId20"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w:t>
        </w:r>
      </w:hyperlink>
      <w:r>
        <w:rPr>
          <w:sz w:val="24"/>
        </w:rPr>
        <w:t xml:space="preserve"> технологического присоединения указанные собственники и законные владельцы обязаны выполнять функции сетевых организаций при технологическом присоединении к электрическим сетям (далее - сетевая организация);</w:t>
      </w:r>
    </w:p>
    <w:p>
      <w:pPr>
        <w:pStyle w:val="0"/>
        <w:spacing w:before="240" w:lineRule="auto"/>
        <w:ind w:firstLine="540"/>
        <w:jc w:val="both"/>
      </w:pPr>
      <w:r>
        <w:rPr>
          <w:sz w:val="24"/>
        </w:rPr>
        <w:t xml:space="preserve">системного оператора электроэнергетических систем России (далее - системный оператор) и до 31 декабря 2023 г. включительно субъектов оперативно-диспетчерского управления в электроэнергетике в технологически изолированных территориальных электроэнергетических системах (далее - системный оператор и указанные субъекты совместно именуются субъект оперативно-диспетчерского управления);</w:t>
      </w:r>
    </w:p>
    <w:p>
      <w:pPr>
        <w:pStyle w:val="0"/>
        <w:jc w:val="both"/>
      </w:pPr>
      <w:r>
        <w:rPr>
          <w:sz w:val="24"/>
        </w:rPr>
        <w:t xml:space="preserve">(в ред. </w:t>
      </w:r>
      <w:hyperlink w:history="0" r:id="rId21"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субъектов электроэнергетики и потребителей электрической энергии, владеющих на праве собственности или ином законном основании объектами по производству электрической энергии, объектами электросетевого хозяйства и (или) энергопринимающими устройствами, входящими в состав территориальной или объединенной электроэнергетической системы либо ее части, на территории которой планируется технологическое присоединение объекта по производству электрической энергии или энергопринимающего устройства заявителя;</w:t>
      </w:r>
    </w:p>
    <w:p>
      <w:pPr>
        <w:pStyle w:val="0"/>
        <w:spacing w:before="240" w:lineRule="auto"/>
        <w:ind w:firstLine="540"/>
        <w:jc w:val="both"/>
      </w:pPr>
      <w:r>
        <w:rPr>
          <w:sz w:val="24"/>
        </w:rPr>
        <w:t xml:space="preserve">проектных организаций и иных юридических и физических лиц, привлекаемых заявителями для выполнения работ по разработке схем выдачи мощности, схем внешнего электроснабжения (далее - проектная организация).</w:t>
      </w:r>
    </w:p>
    <w:p>
      <w:pPr>
        <w:pStyle w:val="0"/>
        <w:spacing w:before="240" w:lineRule="auto"/>
        <w:ind w:firstLine="540"/>
        <w:jc w:val="both"/>
      </w:pPr>
      <w:r>
        <w:rPr>
          <w:sz w:val="24"/>
        </w:rPr>
        <w:t xml:space="preserve">3. Утратил силу. - </w:t>
      </w:r>
      <w:hyperlink w:history="0" r:id="rId22"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w:t>
        </w:r>
      </w:hyperlink>
      <w:r>
        <w:rPr>
          <w:sz w:val="24"/>
        </w:rPr>
        <w:t xml:space="preserve"> Минэнерго России от 28.04.2023 N 289.</w:t>
      </w:r>
    </w:p>
    <w:p>
      <w:pPr>
        <w:pStyle w:val="0"/>
        <w:spacing w:before="240" w:lineRule="auto"/>
        <w:ind w:firstLine="540"/>
        <w:jc w:val="both"/>
      </w:pPr>
      <w:r>
        <w:rPr>
          <w:sz w:val="24"/>
        </w:rPr>
        <w:t xml:space="preserve">4. Требования Правил не распространяются на схемы выдачи мощности и схемы внешнего электроснабжения, технические задания на разработку которых согласованы и утверждены до даты принятия настоящих Правил.</w:t>
      </w:r>
    </w:p>
    <w:p>
      <w:pPr>
        <w:pStyle w:val="0"/>
        <w:spacing w:before="240" w:lineRule="auto"/>
        <w:ind w:firstLine="540"/>
        <w:jc w:val="both"/>
      </w:pPr>
      <w:r>
        <w:rPr>
          <w:sz w:val="24"/>
        </w:rPr>
        <w:t xml:space="preserve">5. Разработка схемы выдачи мощности (схемы внешнего электроснабжения) и ее согласование с сетевой организацией и субъектом оперативно-диспетчерского управления должны осуществляться заявителем самостоятельно или с привлечением проектной организации.</w:t>
      </w:r>
    </w:p>
    <w:p>
      <w:pPr>
        <w:pStyle w:val="0"/>
        <w:spacing w:before="240" w:lineRule="auto"/>
        <w:ind w:firstLine="540"/>
        <w:jc w:val="both"/>
      </w:pPr>
      <w:r>
        <w:rPr>
          <w:sz w:val="24"/>
        </w:rPr>
        <w:t xml:space="preserve">Проектная организация вправе выступать в отношениях, регулируемых Правилами, от имени заявителя в случае и пределах, если соответствующие права и обязанности предоставлены ей в порядке, установленном гражданским законодательством Российской Федерации.</w:t>
      </w:r>
    </w:p>
    <w:p>
      <w:pPr>
        <w:pStyle w:val="0"/>
        <w:spacing w:before="240" w:lineRule="auto"/>
        <w:ind w:firstLine="540"/>
        <w:jc w:val="both"/>
      </w:pPr>
      <w:r>
        <w:rPr>
          <w:sz w:val="24"/>
        </w:rPr>
        <w:t xml:space="preserve">6. Процедура разработки и согласования схемы выдачи мощности (схемы внешнего электроснабжения) включает в себя:</w:t>
      </w:r>
    </w:p>
    <w:p>
      <w:pPr>
        <w:pStyle w:val="0"/>
        <w:spacing w:before="240" w:lineRule="auto"/>
        <w:ind w:firstLine="540"/>
        <w:jc w:val="both"/>
      </w:pPr>
      <w:r>
        <w:rPr>
          <w:sz w:val="24"/>
        </w:rPr>
        <w:t xml:space="preserve">а) разработку, согласование с сетевой организацией (за исключением случаев, указанных в </w:t>
      </w:r>
      <w:hyperlink w:history="0" w:anchor="P112" w:tooltip="15. Техническое задание должно быть согласовано заявителем с:">
        <w:r>
          <w:rPr>
            <w:sz w:val="24"/>
            <w:color w:val="0000ff"/>
          </w:rPr>
          <w:t xml:space="preserve">пункте 15</w:t>
        </w:r>
      </w:hyperlink>
      <w:r>
        <w:rPr>
          <w:sz w:val="24"/>
        </w:rPr>
        <w:t xml:space="preserve"> Правил) и субъектом оперативно-диспетчерского управления и утверждение технического задания на разработку схемы выдачи мощности (схемы внешнего электроснабжения) (далее - техническое задание);</w:t>
      </w:r>
    </w:p>
    <w:p>
      <w:pPr>
        <w:pStyle w:val="0"/>
        <w:jc w:val="both"/>
      </w:pPr>
      <w:r>
        <w:rPr>
          <w:sz w:val="24"/>
        </w:rPr>
        <w:t xml:space="preserve">(в ред. </w:t>
      </w:r>
      <w:hyperlink w:history="0" r:id="rId23"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б) сбор исходных данных, необходимых для разработки схемы выдачи мощности (схемы внешнего электроснабжения) (в технологически изолированных территориальных электроэнергетических системах в период до 31 декабря 2023 г. включительно - также исходных данных, необходимых для формирования математических расчетных моделей энергосистемы (далее - математические расчетные модели), необходимых для выполнения расчетов электроэнергетических режимов, статической и динамической устойчивости, токов короткого замыкания, предусмотренных техническим заданием);</w:t>
      </w:r>
    </w:p>
    <w:p>
      <w:pPr>
        <w:pStyle w:val="0"/>
        <w:jc w:val="both"/>
      </w:pPr>
      <w:r>
        <w:rPr>
          <w:sz w:val="24"/>
        </w:rPr>
        <w:t xml:space="preserve">(пп. "б" в ред. </w:t>
      </w:r>
      <w:hyperlink w:history="0" r:id="rId24"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в) получение от системного оператора перспективных расчетных моделей электроэнергетической системы или их фрагментов в соответствии с </w:t>
      </w:r>
      <w:hyperlink w:history="0" r:id="rId25"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порядком</w:t>
        </w:r>
      </w:hyperlink>
      <w:r>
        <w:rPr>
          <w:sz w:val="24"/>
        </w:rPr>
        <w:t xml:space="preserve">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утвержденным Минэнерго России в соответствии с </w:t>
      </w:r>
      <w:hyperlink w:history="0" r:id="rId26" w:tooltip="Федеральный закон от 26.03.2003 N 35-ФЗ (ред. от 27.10.2025) &quot;Об электроэнергетике&quot; ------------ Недействующая редакция {КонсультантПлюс}">
        <w:r>
          <w:rPr>
            <w:sz w:val="24"/>
            <w:color w:val="0000ff"/>
          </w:rPr>
          <w:t xml:space="preserve">пунктом 11 статьи 6.1</w:t>
        </w:r>
      </w:hyperlink>
      <w:r>
        <w:rPr>
          <w:sz w:val="24"/>
        </w:rPr>
        <w:t xml:space="preserve"> и </w:t>
      </w:r>
      <w:hyperlink w:history="0" r:id="rId27" w:tooltip="Федеральный закон от 26.03.2003 N 35-ФЗ (ред. от 27.10.2025) &quot;Об электроэнергетике&quot; ------------ Недействующая редакция {КонсультантПлюс}">
        <w:r>
          <w:rPr>
            <w:sz w:val="24"/>
            <w:color w:val="0000ff"/>
          </w:rPr>
          <w:t xml:space="preserve">абзацем пятидесятым пункта 2 статьи 21</w:t>
        </w:r>
      </w:hyperlink>
      <w:r>
        <w:rPr>
          <w:sz w:val="24"/>
        </w:rPr>
        <w:t xml:space="preserve"> Федерального закона "Об электроэнергетике" (в технологически изолированных территориальных электроэнергетических системах в период до 31 декабря 2023 г. включительно - формирование математических расчетных моделей и их верификацию субъектом оперативно-диспетчерского управления в технологически изолированной территориальной электроэнергетической системе);</w:t>
      </w:r>
    </w:p>
    <w:p>
      <w:pPr>
        <w:pStyle w:val="0"/>
        <w:jc w:val="both"/>
      </w:pPr>
      <w:r>
        <w:rPr>
          <w:sz w:val="24"/>
        </w:rPr>
        <w:t xml:space="preserve">(пп. "в" в ред. </w:t>
      </w:r>
      <w:hyperlink w:history="0" r:id="rId28"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г) разработку, согласование с лицами, указанными в </w:t>
      </w:r>
      <w:hyperlink w:history="0" r:id="rId29"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пункте 10(4)</w:t>
        </w:r>
      </w:hyperlink>
      <w:r>
        <w:rPr>
          <w:sz w:val="24"/>
        </w:rPr>
        <w:t xml:space="preserve"> Правил технологического присоединения, и утверждение схемы выдачи мощности (схемы внешнего электроснабжения).</w:t>
      </w:r>
    </w:p>
    <w:p>
      <w:pPr>
        <w:pStyle w:val="0"/>
        <w:jc w:val="both"/>
      </w:pPr>
      <w:r>
        <w:rPr>
          <w:sz w:val="24"/>
        </w:rPr>
        <w:t xml:space="preserve">(пп. "г" в ред. </w:t>
      </w:r>
      <w:hyperlink w:history="0" r:id="rId30"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p>
      <w:pPr>
        <w:pStyle w:val="0"/>
        <w:spacing w:before="240" w:lineRule="auto"/>
        <w:ind w:firstLine="540"/>
        <w:jc w:val="both"/>
      </w:pPr>
      <w:r>
        <w:rPr>
          <w:sz w:val="24"/>
        </w:rPr>
        <w:t xml:space="preserve">7. Направление проекта схемы выдачи мощности (схемы внешнего электроснабжения) на рассмотрение и согласование лицам, указанным в </w:t>
      </w:r>
      <w:hyperlink w:history="0" r:id="rId31"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пункте 10(4)</w:t>
        </w:r>
      </w:hyperlink>
      <w:r>
        <w:rPr>
          <w:sz w:val="24"/>
        </w:rPr>
        <w:t xml:space="preserve"> Правил технологического присоединения, осуществляется заявителем.</w:t>
      </w:r>
    </w:p>
    <w:p>
      <w:pPr>
        <w:pStyle w:val="0"/>
        <w:jc w:val="both"/>
      </w:pPr>
      <w:r>
        <w:rPr>
          <w:sz w:val="24"/>
        </w:rPr>
        <w:t xml:space="preserve">(п. 7 в ред. </w:t>
      </w:r>
      <w:hyperlink w:history="0" r:id="rId32"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p>
      <w:pPr>
        <w:pStyle w:val="0"/>
        <w:spacing w:before="240" w:lineRule="auto"/>
        <w:ind w:firstLine="540"/>
        <w:jc w:val="both"/>
      </w:pPr>
      <w:r>
        <w:rPr>
          <w:sz w:val="24"/>
        </w:rPr>
        <w:t xml:space="preserve">8. Разработка схемы выдачи мощности (схемы внешнего электроснабжения) осуществляется в целях предварительной технико-экономической проработки и оценки вариантов мероприятий по технологическому присоединению такого объекта (устройства) к электрическим сетям.</w:t>
      </w:r>
    </w:p>
    <w:bookmarkStart w:id="83" w:name="P83"/>
    <w:bookmarkEnd w:id="83"/>
    <w:p>
      <w:pPr>
        <w:pStyle w:val="0"/>
        <w:spacing w:before="240" w:lineRule="auto"/>
        <w:ind w:firstLine="540"/>
        <w:jc w:val="both"/>
      </w:pPr>
      <w:r>
        <w:rPr>
          <w:sz w:val="24"/>
        </w:rPr>
        <w:t xml:space="preserve">9. При разработке схемы выдачи мощности (схемы внешнего электроснабжения) должно быть обеспечено соблюдение требований, установленных </w:t>
      </w:r>
      <w:hyperlink w:history="0" r:id="rId33"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и нормативными правовыми актами Минэнерго России, утвержденными в соответствии с </w:t>
      </w:r>
      <w:hyperlink w:history="0" r:id="rId34"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и </w:t>
      </w:r>
      <w:hyperlink w:history="0" r:id="rId35"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w:t>
      </w:r>
    </w:p>
    <w:p>
      <w:pPr>
        <w:pStyle w:val="0"/>
        <w:spacing w:before="240" w:lineRule="auto"/>
        <w:ind w:firstLine="540"/>
        <w:jc w:val="both"/>
      </w:pPr>
      <w:r>
        <w:rPr>
          <w:sz w:val="24"/>
        </w:rPr>
        <w:t xml:space="preserve">При разработке схемы выдачи мощности (схемы внешнего электроснабжения) необходимо руководствоваться нормативными правовыми актами Минэнерго России, указанными в </w:t>
      </w:r>
      <w:hyperlink w:history="0" w:anchor="P83" w:tooltip="9. При разработке схемы выдачи мощности (схемы внешнего электроснабжения) должно быть обеспечено соблюдение требований, установленных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и нормативными правовыми актами Минэнерго России, утвержденными в соответствии с постановлением Правительства Российской Федерации от 13 августа 2018 г. N 937 &quot;Об утверждении Правил технологического функциони...">
        <w:r>
          <w:rPr>
            <w:sz w:val="24"/>
            <w:color w:val="0000ff"/>
          </w:rPr>
          <w:t xml:space="preserve">абзаце первом</w:t>
        </w:r>
      </w:hyperlink>
      <w:r>
        <w:rPr>
          <w:sz w:val="24"/>
        </w:rPr>
        <w:t xml:space="preserve"> настоящего пункта, действующими на дату утверждения технического задания на разработку схемы выдачи мощности (схемы внешнего электроснабжения).</w:t>
      </w:r>
    </w:p>
    <w:p>
      <w:pPr>
        <w:pStyle w:val="0"/>
        <w:jc w:val="both"/>
      </w:pPr>
      <w:r>
        <w:rPr>
          <w:sz w:val="24"/>
        </w:rPr>
        <w:t xml:space="preserve">(в ред. </w:t>
      </w:r>
      <w:hyperlink w:history="0" r:id="rId36"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10. Схема выдачи мощности должна быть разработана, согласована в соответствии с Правилами и утверждена в период до планируемой даты ввода в работу в составе энергосистемы первого энергоблока, турбогенератора, гидроагрегата или этапа (очереди) строительства (реконструкции, технологического присоединения) объекта по производству электрической энергии, связанного с увеличением его максимальной мощности (далее - единица генерирующего оборудования), продолжительность которого не превышает прогнозного периода, на который в соответствии с </w:t>
      </w:r>
      <w:hyperlink w:history="0" r:id="rId37"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Правилами</w:t>
        </w:r>
      </w:hyperlink>
      <w:r>
        <w:rPr>
          <w:sz w:val="24"/>
        </w:rPr>
        <w:t xml:space="preserve"> разработки и утверждения документов перспективного развития электроэнергетики, утвержденными постановлением Правительства Российской Федерации от 30 декабря 2022 г. N 2556 &lt;10&gt;, разработаны схема и программа развития электроэнергетических систем России (до утверждения таких схемы и программы в 2023 г. (в отношении технологически изолированных территориальных электроэнергетических систем в 2024 г.) - прогнозного периода, на который в соответствии с </w:t>
      </w:r>
      <w:hyperlink w:history="0" r:id="rId38" w:tooltip="Постановление Правительства РФ от 17.10.2009 N 823 (ред. от 30.12.2022) &quot;О схемах и программах перспективного развития электроэнергетики&quot; (вместе с &quot;Правилами разработки и утверждения схем и программ перспективного развития электроэнергетики&quot;) ------------ Утратил силу или отменен {КонсультантПлюс}">
        <w:r>
          <w:rPr>
            <w:sz w:val="24"/>
            <w:color w:val="0000ff"/>
          </w:rPr>
          <w:t xml:space="preserve">Правилами</w:t>
        </w:r>
      </w:hyperlink>
      <w:r>
        <w:rPr>
          <w:sz w:val="24"/>
        </w:rPr>
        <w:t xml:space="preserve"> разработки и утверждения схем и программ перспективного развития электроэнергетики, утвержденными постановлением Правительства Российской Федерации от 17 октября 2009 г. N 823 "О схемах и программах перспективного развития электроэнергетики" (Собрание законодательства Российской Федерации, 2009, N 43, ст. 5073; 2021, N 6, ст. 985), разработаны схема и программа развития Единой энергетической системы России (схема и программа развития электроэнергетики соответствующего субъекта Российской Федерации - для технологически изолированных территориальных электроэнергетических систем), учтенные в качестве исходной информации (далее - схема и программа развития, учтенная в качестве исходной информации) для разработки такой схемы выдачи мощности.</w:t>
      </w:r>
    </w:p>
    <w:p>
      <w:pPr>
        <w:pStyle w:val="0"/>
        <w:jc w:val="both"/>
      </w:pPr>
      <w:r>
        <w:rPr>
          <w:sz w:val="24"/>
        </w:rPr>
        <w:t xml:space="preserve">(в ред. Приказов Минэнерго России от 17.02.2023 </w:t>
      </w:r>
      <w:hyperlink w:history="0" r:id="rId39"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N 82</w:t>
        </w:r>
      </w:hyperlink>
      <w:r>
        <w:rPr>
          <w:sz w:val="24"/>
        </w:rPr>
        <w:t xml:space="preserve">, от 28.04.2023 </w:t>
      </w:r>
      <w:hyperlink w:history="0" r:id="rId40"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N 289</w:t>
        </w:r>
      </w:hyperlink>
      <w:r>
        <w:rPr>
          <w:sz w:val="24"/>
        </w:rPr>
        <w:t xml:space="preserve">)</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&lt;10&gt; Официальный интернет-портал правовой информации htpp://pravo.gov.ru, 23.01.2023.</w:t>
      </w:r>
    </w:p>
    <w:p>
      <w:pPr>
        <w:pStyle w:val="0"/>
        <w:jc w:val="both"/>
      </w:pPr>
      <w:r>
        <w:rPr>
          <w:sz w:val="24"/>
        </w:rPr>
        <w:t xml:space="preserve">(сноска введена </w:t>
      </w:r>
      <w:hyperlink w:history="0" r:id="rId41"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Приказом</w:t>
        </w:r>
      </w:hyperlink>
      <w:r>
        <w:rPr>
          <w:sz w:val="24"/>
        </w:rPr>
        <w:t xml:space="preserve"> Минэнерго России от 17.02.2023 N 82)</w:t>
      </w:r>
    </w:p>
    <w:p>
      <w:pPr>
        <w:pStyle w:val="0"/>
        <w:ind w:firstLine="540"/>
        <w:jc w:val="both"/>
      </w:pPr>
      <w:r>
        <w:rPr>
          <w:sz w:val="24"/>
        </w:rPr>
      </w:r>
    </w:p>
    <w:p>
      <w:pPr>
        <w:pStyle w:val="0"/>
        <w:ind w:firstLine="540"/>
        <w:jc w:val="both"/>
      </w:pPr>
      <w:r>
        <w:rPr>
          <w:sz w:val="24"/>
        </w:rPr>
        <w:t xml:space="preserve">Схема внешнего электроснабжения должна быть разработана, согласована с сетевой организацией и субъектом оперативно-диспетчерского управления и утверждена в период до планируемого завершения первого этапа технологического присоединения к электрическим сетям энергопринимающих устройств заявителя, продолжительность которого не превышает прогнозного периода, на который разработана схема и программа развития, учтенная в качестве исходной информации для разработки такой схемы внешнего электроснабжения.</w:t>
      </w:r>
    </w:p>
    <w:bookmarkStart w:id="93" w:name="P93"/>
    <w:bookmarkEnd w:id="93"/>
    <w:p>
      <w:pPr>
        <w:pStyle w:val="0"/>
        <w:spacing w:before="240" w:lineRule="auto"/>
        <w:ind w:firstLine="540"/>
        <w:jc w:val="both"/>
      </w:pPr>
      <w:r>
        <w:rPr>
          <w:sz w:val="24"/>
        </w:rPr>
        <w:t xml:space="preserve">11. Утвержденная схема выдачи мощности (схема внешнего электроснабжения) действительна до 31 декабря последнего года прогнозного периода, на который разработана схема и программа развития, учтенная в качестве исходной информации для разработки схемы выдачи мощности (схемы внешнего электроснабжения), при условии подачи заявителем в сетевую организацию в установленном </w:t>
      </w:r>
      <w:hyperlink w:history="0" r:id="rId42"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пунктами 8</w:t>
        </w:r>
      </w:hyperlink>
      <w:r>
        <w:rPr>
          <w:sz w:val="24"/>
        </w:rPr>
        <w:t xml:space="preserve">, </w:t>
      </w:r>
      <w:hyperlink w:history="0" r:id="rId43"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9</w:t>
        </w:r>
      </w:hyperlink>
      <w:r>
        <w:rPr>
          <w:sz w:val="24"/>
        </w:rPr>
        <w:t xml:space="preserve"> и </w:t>
      </w:r>
      <w:hyperlink w:history="0" r:id="rId44"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10</w:t>
        </w:r>
      </w:hyperlink>
      <w:r>
        <w:rPr>
          <w:sz w:val="24"/>
        </w:rPr>
        <w:t xml:space="preserve"> Правил технологического присоединения порядке заявки на технологическое присоединение к электрическим сетям и заключения с сетевой организацией договора об осуществлении технологического присоединения (в случае технологического присоединения к объектам единой национальной (общероссийской) электрической сети по индивидуальному проекту - соглашения о порядке взаимодействия заявителя и сетевой организации в целях выполнения мероприятий по технологическому присоединению по индивидуальному проекту) в срок не более 12 календарных месяцев с даты утверждения схемы выдачи мощности (схемы внешнего электроснабжения).</w:t>
      </w:r>
    </w:p>
    <w:p>
      <w:pPr>
        <w:pStyle w:val="0"/>
        <w:spacing w:before="240" w:lineRule="auto"/>
        <w:ind w:firstLine="540"/>
        <w:jc w:val="both"/>
      </w:pPr>
      <w:r>
        <w:rPr>
          <w:sz w:val="24"/>
        </w:rPr>
        <w:t xml:space="preserve">Действие утвержденной схемы выдачи мощности (схемы внешнего электроснабжения) прекращается в следующих случаях:</w:t>
      </w:r>
    </w:p>
    <w:p>
      <w:pPr>
        <w:pStyle w:val="0"/>
        <w:spacing w:before="240" w:lineRule="auto"/>
        <w:ind w:firstLine="540"/>
        <w:jc w:val="both"/>
      </w:pPr>
      <w:r>
        <w:rPr>
          <w:sz w:val="24"/>
        </w:rPr>
        <w:t xml:space="preserve">при несоблюдении заявителем условия, указанного в </w:t>
      </w:r>
      <w:hyperlink w:history="0" w:anchor="P93" w:tooltip="11. Утвержденная схема выдачи мощности (схема внешнего электроснабжения) действительна до 31 декабря последнего года прогнозного периода, на который разработана схема и программа развития, учтенная в качестве исходной информации для разработки схемы выдачи мощности (схемы внешнего электроснабжения), при условии подачи заявителем в сетевую организацию в установленном пунктами 8, 9 и 10 Правил технологического присоединения порядке заявки на технологическое присоединение к электрическим сетям и заключения ...">
        <w:r>
          <w:rPr>
            <w:sz w:val="24"/>
            <w:color w:val="0000ff"/>
          </w:rPr>
          <w:t xml:space="preserve">абзаце первом</w:t>
        </w:r>
      </w:hyperlink>
      <w:r>
        <w:rPr>
          <w:sz w:val="24"/>
        </w:rPr>
        <w:t xml:space="preserve"> настоящего пункта Правил;</w:t>
      </w:r>
    </w:p>
    <w:p>
      <w:pPr>
        <w:pStyle w:val="0"/>
        <w:spacing w:before="240" w:lineRule="auto"/>
        <w:ind w:firstLine="540"/>
        <w:jc w:val="both"/>
      </w:pPr>
      <w:r>
        <w:rPr>
          <w:sz w:val="24"/>
        </w:rPr>
        <w:t xml:space="preserve">если мероприятия по технологическому присоединению объекта по производству электрической энергии (энергопринимающего устройства) заявителя не завершены в течение срока действия выданных заявителю технических условий на технологическое присоединение к электрическим сетям (далее - технические условия) с учетом продления срока действия ранее выданных технических условий, и такой срок действия технических условий (с учетом его продления) превышает период до 31 декабря последнего года прогнозного периода, на который разработана схема и программа развития, учтенная в качестве исходной информации для разработки схемы выдачи мощности (схемы внешнего электроснабжения).</w:t>
      </w:r>
    </w:p>
    <w:p>
      <w:pPr>
        <w:pStyle w:val="0"/>
        <w:spacing w:before="240" w:lineRule="auto"/>
        <w:ind w:firstLine="540"/>
        <w:jc w:val="both"/>
      </w:pPr>
      <w:r>
        <w:rPr>
          <w:sz w:val="24"/>
        </w:rPr>
        <w:t xml:space="preserve">12. При планируемом заявителем технологическом присоединении к электрическим сетям одновременно объекта по производству электрической энергии и энергопринимающих устройств заявителя по решению заявителя допускается разрабатывать схему выдачи мощности и схему внешнего электроснабжения как единый документ. В указанном случае в отношении такого документа при его разработке и согласовании должны быть выполнены требования, установленные настоящими Правилами как для схемы выдачи мощности, так и для схемы внешнего электроснабжения.</w:t>
      </w:r>
    </w:p>
    <w:p>
      <w:pPr>
        <w:pStyle w:val="0"/>
        <w:jc w:val="both"/>
      </w:pPr>
      <w:r>
        <w:rPr>
          <w:sz w:val="24"/>
        </w:rPr>
      </w:r>
    </w:p>
    <w:bookmarkStart w:id="99" w:name="P99"/>
    <w:bookmarkEnd w:id="99"/>
    <w:p>
      <w:pPr>
        <w:pStyle w:val="2"/>
        <w:outlineLvl w:val="1"/>
        <w:jc w:val="center"/>
      </w:pPr>
      <w:r>
        <w:rPr>
          <w:sz w:val="24"/>
        </w:rPr>
        <w:t xml:space="preserve">II. Требования к разработке и согласованию</w:t>
      </w:r>
    </w:p>
    <w:p>
      <w:pPr>
        <w:pStyle w:val="2"/>
        <w:jc w:val="center"/>
      </w:pPr>
      <w:r>
        <w:rPr>
          <w:sz w:val="24"/>
        </w:rPr>
        <w:t xml:space="preserve">технического задания на разработку схемы выдачи мощности</w:t>
      </w:r>
    </w:p>
    <w:p>
      <w:pPr>
        <w:pStyle w:val="2"/>
        <w:jc w:val="center"/>
      </w:pPr>
      <w:r>
        <w:rPr>
          <w:sz w:val="24"/>
        </w:rPr>
        <w:t xml:space="preserve">(схемы внешнего электроснабжения)</w:t>
      </w:r>
    </w:p>
    <w:p>
      <w:pPr>
        <w:pStyle w:val="0"/>
        <w:jc w:val="both"/>
      </w:pPr>
      <w:r>
        <w:rPr>
          <w:sz w:val="24"/>
        </w:rPr>
      </w:r>
    </w:p>
    <w:p>
      <w:pPr>
        <w:pStyle w:val="0"/>
        <w:ind w:firstLine="540"/>
        <w:jc w:val="both"/>
      </w:pPr>
      <w:r>
        <w:rPr>
          <w:sz w:val="24"/>
        </w:rPr>
        <w:t xml:space="preserve">13. Техническое задание должно быть разработано заявителем либо привлеченной им проектной организацией.</w:t>
      </w:r>
    </w:p>
    <w:bookmarkStart w:id="104" w:name="P104"/>
    <w:bookmarkEnd w:id="104"/>
    <w:p>
      <w:pPr>
        <w:pStyle w:val="0"/>
        <w:spacing w:before="240" w:lineRule="auto"/>
        <w:ind w:firstLine="540"/>
        <w:jc w:val="both"/>
      </w:pPr>
      <w:r>
        <w:rPr>
          <w:sz w:val="24"/>
        </w:rPr>
        <w:t xml:space="preserve">14. Техническое задание должно содержать информацию о предварительном месте нахождения объекта по производству электрической энергии (энергопринимающих устройств), предполагаемой величине его (их) максимальной мощности (в случае разработки схемы выдачи мощности или схемы внешнего электроснабжения в связи с увеличением максимальной мощности существующего объекта по производству электрической энергии или энергопринимающих устройств - о предполагаемой величине изменения максимальной мощности и суммарной величине максимальной мощности после реализации технологического присоединения), категории надежности электроснабжения энергопринимающих устройств, планируемых сроке и этапах (очередях) строительства, реконструкции и технологического присоединения объекта по производству электрической энергии (энергопринимающих устройств), а также требования к содержательному наполнению схемы выдачи мощности (схемы внешнего электроснабжения), составу и объему расчетов, составу и содержанию работ, выполняемых в рамках разработки схемы выдачи мощности (схемы внешнего электроснабжения), указанные в </w:t>
      </w:r>
      <w:hyperlink w:history="0" w:anchor="P190" w:tooltip="46. Схема выдачи мощности должна содержать:">
        <w:r>
          <w:rPr>
            <w:sz w:val="24"/>
            <w:color w:val="0000ff"/>
          </w:rPr>
          <w:t xml:space="preserve">пункте 46</w:t>
        </w:r>
      </w:hyperlink>
      <w:r>
        <w:rPr>
          <w:sz w:val="24"/>
        </w:rPr>
        <w:t xml:space="preserve"> Правил и </w:t>
      </w:r>
      <w:hyperlink w:history="0" w:anchor="P278" w:tooltip="ТРЕБОВАНИЯ">
        <w:r>
          <w:rPr>
            <w:sz w:val="24"/>
            <w:color w:val="0000ff"/>
          </w:rPr>
          <w:t xml:space="preserve">приложении N 1</w:t>
        </w:r>
      </w:hyperlink>
      <w:r>
        <w:rPr>
          <w:sz w:val="24"/>
        </w:rPr>
        <w:t xml:space="preserve"> к Правилам (для разработки схемы выдачи мощности) или </w:t>
      </w:r>
      <w:hyperlink w:history="0" w:anchor="P213" w:tooltip="47. Схема внешнего электроснабжения должна содержать:">
        <w:r>
          <w:rPr>
            <w:sz w:val="24"/>
            <w:color w:val="0000ff"/>
          </w:rPr>
          <w:t xml:space="preserve">пункте 47</w:t>
        </w:r>
      </w:hyperlink>
      <w:r>
        <w:rPr>
          <w:sz w:val="24"/>
        </w:rPr>
        <w:t xml:space="preserve"> Правил и </w:t>
      </w:r>
      <w:hyperlink w:history="0" w:anchor="P358" w:tooltip="ТРЕБОВАНИЯ">
        <w:r>
          <w:rPr>
            <w:sz w:val="24"/>
            <w:color w:val="0000ff"/>
          </w:rPr>
          <w:t xml:space="preserve">приложении N 2</w:t>
        </w:r>
      </w:hyperlink>
      <w:r>
        <w:rPr>
          <w:sz w:val="24"/>
        </w:rPr>
        <w:t xml:space="preserve"> к Правилам (для разработки схемы внешнего электроснабжения).</w:t>
      </w:r>
    </w:p>
    <w:p>
      <w:pPr>
        <w:pStyle w:val="0"/>
        <w:jc w:val="both"/>
      </w:pPr>
      <w:r>
        <w:rPr>
          <w:sz w:val="24"/>
        </w:rPr>
        <w:t xml:space="preserve">(в ред. </w:t>
      </w:r>
      <w:hyperlink w:history="0" r:id="rId45"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Увеличение объема требований, содержащихся в техническом задании, относительно указанного в </w:t>
      </w:r>
      <w:hyperlink w:history="0" w:anchor="P104" w:tooltip="14. Техническое задание должно содержать информацию о предварительном месте нахождения объекта по производству электрической энергии (энергопринимающих устройств), предполагаемой величине его (их) максимальной мощности (в случае разработки схемы выдачи мощности или схемы внешнего электроснабжения в связи с увеличением максимальной мощности существующего объекта по производству электрической энергии или энергопринимающих устройств - о предполагаемой величине изменения максимальной мощности и суммарной вел...">
        <w:r>
          <w:rPr>
            <w:sz w:val="24"/>
            <w:color w:val="0000ff"/>
          </w:rPr>
          <w:t xml:space="preserve">абзаце первом</w:t>
        </w:r>
      </w:hyperlink>
      <w:r>
        <w:rPr>
          <w:sz w:val="24"/>
        </w:rPr>
        <w:t xml:space="preserve"> настоящего пункта осуществляется только по инициативе заявителя.</w:t>
      </w:r>
    </w:p>
    <w:p>
      <w:pPr>
        <w:pStyle w:val="0"/>
        <w:spacing w:before="240" w:lineRule="auto"/>
        <w:ind w:firstLine="540"/>
        <w:jc w:val="both"/>
      </w:pPr>
      <w:r>
        <w:rPr>
          <w:sz w:val="24"/>
        </w:rPr>
        <w:t xml:space="preserve">Уменьшение объема требований, содержащихся в техническом задании, относительно указанного в </w:t>
      </w:r>
      <w:hyperlink w:history="0" w:anchor="P104" w:tooltip="14. Техническое задание должно содержать информацию о предварительном месте нахождения объекта по производству электрической энергии (энергопринимающих устройств), предполагаемой величине его (их) максимальной мощности (в случае разработки схемы выдачи мощности или схемы внешнего электроснабжения в связи с увеличением максимальной мощности существующего объекта по производству электрической энергии или энергопринимающих устройств - о предполагаемой величине изменения максимальной мощности и суммарной вел...">
        <w:r>
          <w:rPr>
            <w:sz w:val="24"/>
            <w:color w:val="0000ff"/>
          </w:rPr>
          <w:t xml:space="preserve">первом абзаце</w:t>
        </w:r>
      </w:hyperlink>
      <w:r>
        <w:rPr>
          <w:sz w:val="24"/>
        </w:rPr>
        <w:t xml:space="preserve"> настоящего пункта осуществляется только по согласованию с субъектом оперативно-диспетчерского управления и сетевой организацией.</w:t>
      </w:r>
    </w:p>
    <w:p>
      <w:pPr>
        <w:pStyle w:val="0"/>
        <w:spacing w:before="240" w:lineRule="auto"/>
        <w:ind w:firstLine="540"/>
        <w:jc w:val="both"/>
      </w:pPr>
      <w:r>
        <w:rPr>
          <w:sz w:val="24"/>
        </w:rPr>
        <w:t xml:space="preserve">Включение в техническое задание конкретных технических решений по выдаче мощности объекта по производству электрической энергии (внешнему электроснабжению энергопринимающих устройств заявителя), которые должны определяться по результатам разработки схемы выдачи мощности (схемы внешнего электроснабжения), не допускается.</w:t>
      </w:r>
    </w:p>
    <w:p>
      <w:pPr>
        <w:pStyle w:val="0"/>
        <w:jc w:val="both"/>
      </w:pPr>
      <w:r>
        <w:rPr>
          <w:sz w:val="24"/>
        </w:rPr>
        <w:t xml:space="preserve">(абзац введен </w:t>
      </w:r>
      <w:hyperlink w:history="0" r:id="rId46"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Приказом</w:t>
        </w:r>
      </w:hyperlink>
      <w:r>
        <w:rPr>
          <w:sz w:val="24"/>
        </w:rPr>
        <w:t xml:space="preserve"> Минэнерго России от 28.04.2023 N 289)</w:t>
      </w:r>
    </w:p>
    <w:p>
      <w:pPr>
        <w:pStyle w:val="0"/>
        <w:spacing w:before="240" w:lineRule="auto"/>
        <w:ind w:firstLine="540"/>
        <w:jc w:val="both"/>
      </w:pPr>
      <w:r>
        <w:rPr>
          <w:sz w:val="24"/>
        </w:rPr>
        <w:t xml:space="preserve">Допускается включение в техническое задание требования заявителя о необходимости обязательного рассмотрения и проработки вариантов присоединения к определенным заявителем центрам питания или точкам электрической сети сетевых организаций в соответствующем энергорайоне.</w:t>
      </w:r>
    </w:p>
    <w:p>
      <w:pPr>
        <w:pStyle w:val="0"/>
        <w:jc w:val="both"/>
      </w:pPr>
      <w:r>
        <w:rPr>
          <w:sz w:val="24"/>
        </w:rPr>
        <w:t xml:space="preserve">(абзац введен </w:t>
      </w:r>
      <w:hyperlink w:history="0" r:id="rId47"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Приказом</w:t>
        </w:r>
      </w:hyperlink>
      <w:r>
        <w:rPr>
          <w:sz w:val="24"/>
        </w:rPr>
        <w:t xml:space="preserve"> Минэнерго России от 28.04.2023 N 289)</w:t>
      </w:r>
    </w:p>
    <w:bookmarkStart w:id="112" w:name="P112"/>
    <w:bookmarkEnd w:id="112"/>
    <w:p>
      <w:pPr>
        <w:pStyle w:val="0"/>
        <w:spacing w:before="240" w:lineRule="auto"/>
        <w:ind w:firstLine="540"/>
        <w:jc w:val="both"/>
      </w:pPr>
      <w:r>
        <w:rPr>
          <w:sz w:val="24"/>
        </w:rPr>
        <w:t xml:space="preserve">15. Техническое задание должно быть согласовано заявителем с:</w:t>
      </w:r>
    </w:p>
    <w:p>
      <w:pPr>
        <w:pStyle w:val="0"/>
        <w:spacing w:before="240" w:lineRule="auto"/>
        <w:ind w:firstLine="540"/>
        <w:jc w:val="both"/>
      </w:pPr>
      <w:r>
        <w:rPr>
          <w:sz w:val="24"/>
        </w:rPr>
        <w:t xml:space="preserve">субъектом оперативно-диспетчерского управления;</w:t>
      </w:r>
    </w:p>
    <w:p>
      <w:pPr>
        <w:pStyle w:val="0"/>
        <w:spacing w:before="240" w:lineRule="auto"/>
        <w:ind w:firstLine="540"/>
        <w:jc w:val="both"/>
      </w:pPr>
      <w:r>
        <w:rPr>
          <w:sz w:val="24"/>
        </w:rPr>
        <w:t xml:space="preserve">сетевой организацией (сетевыми организациями), к электрическим сетям которой (которых) планируется осуществить технологическое присоединение объекта по производству электрической энергии и (или) энергопринимающих устройств заявителя, за исключением случаев, когда техническое задание в полном объеме содержит информацию и требования, предусмотренные </w:t>
      </w:r>
      <w:hyperlink w:history="0" w:anchor="P104" w:tooltip="14. Техническое задание должно содержать информацию о предварительном месте нахождения объекта по производству электрической энергии (энергопринимающих устройств), предполагаемой величине его (их) максимальной мощности (в случае разработки схемы выдачи мощности или схемы внешнего электроснабжения в связи с увеличением максимальной мощности существующего объекта по производству электрической энергии или энергопринимающих устройств - о предполагаемой величине изменения максимальной мощности и суммарной вел...">
        <w:r>
          <w:rPr>
            <w:sz w:val="24"/>
            <w:color w:val="0000ff"/>
          </w:rPr>
          <w:t xml:space="preserve">абзацем первым пункта 14</w:t>
        </w:r>
      </w:hyperlink>
      <w:r>
        <w:rPr>
          <w:sz w:val="24"/>
        </w:rPr>
        <w:t xml:space="preserve"> Правил, и соответствует </w:t>
      </w:r>
      <w:hyperlink w:history="0" w:anchor="P278" w:tooltip="ТРЕБОВАНИЯ">
        <w:r>
          <w:rPr>
            <w:sz w:val="24"/>
            <w:color w:val="0000ff"/>
          </w:rPr>
          <w:t xml:space="preserve">приложению N 1</w:t>
        </w:r>
      </w:hyperlink>
      <w:r>
        <w:rPr>
          <w:sz w:val="24"/>
        </w:rPr>
        <w:t xml:space="preserve"> (для схемы выдачи мощности) или </w:t>
      </w:r>
      <w:hyperlink w:history="0" w:anchor="P358" w:tooltip="ТРЕБОВАНИЯ">
        <w:r>
          <w:rPr>
            <w:sz w:val="24"/>
            <w:color w:val="0000ff"/>
          </w:rPr>
          <w:t xml:space="preserve">N 2</w:t>
        </w:r>
      </w:hyperlink>
      <w:r>
        <w:rPr>
          <w:sz w:val="24"/>
        </w:rPr>
        <w:t xml:space="preserve"> (для схемы внешнего электроснабжения) к Правилам.</w:t>
      </w:r>
    </w:p>
    <w:p>
      <w:pPr>
        <w:pStyle w:val="0"/>
        <w:jc w:val="both"/>
      </w:pPr>
      <w:r>
        <w:rPr>
          <w:sz w:val="24"/>
        </w:rPr>
        <w:t xml:space="preserve">(п. 15 в ред. </w:t>
      </w:r>
      <w:hyperlink w:history="0" r:id="rId48"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16. Проект технического задания должен направляться в адрес субъекта оперативно-диспетчерского управления и сетевой организации в электронном виде в редактируемом текстовом формате (при отсутствии у заявителя технической возможности предоставления в электронном виде - на бумажном носителе) с сопроводительным письмом за подписью уполномоченного заявителем должностного лица.</w:t>
      </w:r>
    </w:p>
    <w:bookmarkStart w:id="117" w:name="P117"/>
    <w:bookmarkEnd w:id="117"/>
    <w:p>
      <w:pPr>
        <w:pStyle w:val="0"/>
        <w:spacing w:before="240" w:lineRule="auto"/>
        <w:ind w:firstLine="540"/>
        <w:jc w:val="both"/>
      </w:pPr>
      <w:r>
        <w:rPr>
          <w:sz w:val="24"/>
        </w:rPr>
        <w:t xml:space="preserve">17. Субъект оперативно-диспетчерского управления в электроэнергетике и сетевая организация в течение 10 рабочих дней с даты получения от заявителя проекта технического задания должны рассмотреть его на соответствие требованиям </w:t>
      </w:r>
      <w:hyperlink w:history="0" w:anchor="P104" w:tooltip="14. Техническое задание должно содержать информацию о предварительном месте нахождения объекта по производству электрической энергии (энергопринимающих устройств), предполагаемой величине его (их) максимальной мощности (в случае разработки схемы выдачи мощности или схемы внешнего электроснабжения в связи с увеличением максимальной мощности существующего объекта по производству электрической энергии или энергопринимающих устройств - о предполагаемой величине изменения максимальной мощности и суммарной вел...">
        <w:r>
          <w:rPr>
            <w:sz w:val="24"/>
            <w:color w:val="0000ff"/>
          </w:rPr>
          <w:t xml:space="preserve">пункта 14</w:t>
        </w:r>
      </w:hyperlink>
      <w:r>
        <w:rPr>
          <w:sz w:val="24"/>
        </w:rPr>
        <w:t xml:space="preserve"> Правил и в случае подтверждения соответствия согласовать его либо в тот же срок направить заявителю обоснованные замечания к проекту технического задания.</w:t>
      </w:r>
    </w:p>
    <w:bookmarkStart w:id="118" w:name="P118"/>
    <w:bookmarkEnd w:id="118"/>
    <w:p>
      <w:pPr>
        <w:pStyle w:val="0"/>
        <w:spacing w:before="240" w:lineRule="auto"/>
        <w:ind w:firstLine="540"/>
        <w:jc w:val="both"/>
      </w:pPr>
      <w:r>
        <w:rPr>
          <w:sz w:val="24"/>
        </w:rPr>
        <w:t xml:space="preserve">18. При получении от субъекта оперативно-диспетчерского управления и (или) сетевой организации замечаний к проекту технического задания заявитель с привлечением при необходимости проектной организации должен в течение 10 рабочих дней с даты получения таких замечаний доработать проект технического задания и повторно направить его на рассмотрение субъекту оперативно-диспетчерского управления и сетевой организации.</w:t>
      </w:r>
    </w:p>
    <w:bookmarkStart w:id="119" w:name="P119"/>
    <w:bookmarkEnd w:id="119"/>
    <w:p>
      <w:pPr>
        <w:pStyle w:val="0"/>
        <w:spacing w:before="240" w:lineRule="auto"/>
        <w:ind w:firstLine="540"/>
        <w:jc w:val="both"/>
      </w:pPr>
      <w:r>
        <w:rPr>
          <w:sz w:val="24"/>
        </w:rPr>
        <w:t xml:space="preserve">19. При получении от заявителя доработанного проекта технического задания субъект оперативно-диспетчерского управления и сетевая организация должны в течение 5 рабочих дней повторно рассмотреть и в случае отсутствия замечаний согласовать его либо в тот же срок направить заявителю замечания к доработанному проекту технического задания.</w:t>
      </w:r>
    </w:p>
    <w:bookmarkStart w:id="120" w:name="P120"/>
    <w:bookmarkEnd w:id="120"/>
    <w:p>
      <w:pPr>
        <w:pStyle w:val="0"/>
        <w:spacing w:before="240" w:lineRule="auto"/>
        <w:ind w:firstLine="540"/>
        <w:jc w:val="both"/>
      </w:pPr>
      <w:r>
        <w:rPr>
          <w:sz w:val="24"/>
        </w:rPr>
        <w:t xml:space="preserve">При рассмотрении доработанного проекта технического задания субъект оперативно-диспетчерского управления и сетевая организация выполняют проверку устранения замечаний, выданных ранее в соответствии с </w:t>
      </w:r>
      <w:hyperlink w:history="0" w:anchor="P117" w:tooltip="17. Субъект оперативно-диспетчерского управления в электроэнергетике и сетевая организация в течение 10 рабочих дней с даты получения от заявителя проекта технического задания должны рассмотреть его на соответствие требованиям пункта 14 Правил и в случае подтверждения соответствия согласовать его либо в тот же срок направить заявителю обоснованные замечания к проекту технического задания.">
        <w:r>
          <w:rPr>
            <w:sz w:val="24"/>
            <w:color w:val="0000ff"/>
          </w:rPr>
          <w:t xml:space="preserve">пунктом 17</w:t>
        </w:r>
      </w:hyperlink>
      <w:r>
        <w:rPr>
          <w:sz w:val="24"/>
        </w:rPr>
        <w:t xml:space="preserve"> Правил, и вправе выдать замечания на доработанную редакцию технического задания только в связи с неполным (некорректным) устранением предыдущих замечаний либо в случае внесения заявителем или привлеченной им проектной организацией изменений (дополнений) в проект технического задания, не связанных с устранением ранее выданных замечаний.</w:t>
      </w:r>
    </w:p>
    <w:p>
      <w:pPr>
        <w:pStyle w:val="0"/>
        <w:spacing w:before="240" w:lineRule="auto"/>
        <w:ind w:firstLine="540"/>
        <w:jc w:val="both"/>
      </w:pPr>
      <w:r>
        <w:rPr>
          <w:sz w:val="24"/>
        </w:rPr>
        <w:t xml:space="preserve">При наличии замечаний к доработанному проекту технического задания их устранение и последующее рассмотрение и согласование проекта технического задания с субъектом оперативно-диспетчерского управления и сетевой организацией осуществляются в соответствии с </w:t>
      </w:r>
      <w:hyperlink w:history="0" w:anchor="P118" w:tooltip="18. При получении от субъекта оперативно-диспетчерского управления и (или) сетевой организации замечаний к проекту технического задания заявитель с привлечением при необходимости проектной организации должен в течение 10 рабочих дней с даты получения таких замечаний доработать проект технического задания и повторно направить его на рассмотрение субъекту оперативно-диспетчерского управления и сетевой организации.">
        <w:r>
          <w:rPr>
            <w:sz w:val="24"/>
            <w:color w:val="0000ff"/>
          </w:rPr>
          <w:t xml:space="preserve">пунктом 18</w:t>
        </w:r>
      </w:hyperlink>
      <w:r>
        <w:rPr>
          <w:sz w:val="24"/>
        </w:rPr>
        <w:t xml:space="preserve"> и </w:t>
      </w:r>
      <w:hyperlink w:history="0" w:anchor="P119" w:tooltip="19. При получении от заявителя доработанного проекта технического задания субъект оперативно-диспетчерского управления и сетевая организация должны в течение 5 рабочих дней повторно рассмотреть и в случае отсутствия замечаний согласовать его либо в тот же срок направить заявителю замечания к доработанному проекту технического задания.">
        <w:r>
          <w:rPr>
            <w:sz w:val="24"/>
            <w:color w:val="0000ff"/>
          </w:rPr>
          <w:t xml:space="preserve">абзацами первым</w:t>
        </w:r>
      </w:hyperlink>
      <w:r>
        <w:rPr>
          <w:sz w:val="24"/>
        </w:rPr>
        <w:t xml:space="preserve"> и </w:t>
      </w:r>
      <w:hyperlink w:history="0" w:anchor="P120" w:tooltip="При рассмотрении доработанного проекта технического задания субъект оперативно-диспетчерского управления и сетевая организация выполняют проверку устранения замечаний, выданных ранее в соответствии с пунктом 17 Правил, и вправе выдать замечания на доработанную редакцию технического задания только в связи с неполным (некорректным) устранением предыдущих замечаний либо в случае внесения заявителем или привлеченной им проектной организацией изменений (дополнений) в проект технического задания, не связанных ...">
        <w:r>
          <w:rPr>
            <w:sz w:val="24"/>
            <w:color w:val="0000ff"/>
          </w:rPr>
          <w:t xml:space="preserve">вторым</w:t>
        </w:r>
      </w:hyperlink>
      <w:r>
        <w:rPr>
          <w:sz w:val="24"/>
        </w:rPr>
        <w:t xml:space="preserve"> настоящего пункта Правил.</w:t>
      </w:r>
    </w:p>
    <w:p>
      <w:pPr>
        <w:pStyle w:val="0"/>
        <w:spacing w:before="240" w:lineRule="auto"/>
        <w:ind w:firstLine="540"/>
        <w:jc w:val="both"/>
      </w:pPr>
      <w:r>
        <w:rPr>
          <w:sz w:val="24"/>
        </w:rPr>
        <w:t xml:space="preserve">20. Согласование проекта технического задания или направление замечаний к нему в соответствии с </w:t>
      </w:r>
      <w:hyperlink w:history="0" w:anchor="P117" w:tooltip="17. Субъект оперативно-диспетчерского управления в электроэнергетике и сетевая организация в течение 10 рабочих дней с даты получения от заявителя проекта технического задания должны рассмотреть его на соответствие требованиям пункта 14 Правил и в случае подтверждения соответствия согласовать его либо в тот же срок направить заявителю обоснованные замечания к проекту технического задания.">
        <w:r>
          <w:rPr>
            <w:sz w:val="24"/>
            <w:color w:val="0000ff"/>
          </w:rPr>
          <w:t xml:space="preserve">пунктами 17</w:t>
        </w:r>
      </w:hyperlink>
      <w:r>
        <w:rPr>
          <w:sz w:val="24"/>
        </w:rPr>
        <w:t xml:space="preserve"> и </w:t>
      </w:r>
      <w:hyperlink w:history="0" w:anchor="P119" w:tooltip="19. При получении от заявителя доработанного проекта технического задания субъект оперативно-диспетчерского управления и сетевая организация должны в течение 5 рабочих дней повторно рассмотреть и в случае отсутствия замечаний согласовать его либо в тот же срок направить заявителю замечания к доработанному проекту технического задания.">
        <w:r>
          <w:rPr>
            <w:sz w:val="24"/>
            <w:color w:val="0000ff"/>
          </w:rPr>
          <w:t xml:space="preserve">19</w:t>
        </w:r>
      </w:hyperlink>
      <w:r>
        <w:rPr>
          <w:sz w:val="24"/>
        </w:rPr>
        <w:t xml:space="preserve"> Правил должны осуществляться путем направления писем за подписью уполномоченных должностных лиц, определенных субъектом оперативно-диспетчерского управления и сетевой организацией, с приложением согласованного технического задания или замечаний к нему соответственно.</w:t>
      </w:r>
    </w:p>
    <w:p>
      <w:pPr>
        <w:pStyle w:val="0"/>
        <w:spacing w:before="240" w:lineRule="auto"/>
        <w:ind w:firstLine="540"/>
        <w:jc w:val="both"/>
      </w:pPr>
      <w:r>
        <w:rPr>
          <w:sz w:val="24"/>
        </w:rPr>
        <w:t xml:space="preserve">21. После получения от субъекта оперативно-диспетчерского управления и сетевой организации писем о согласовании технического задания техническое задание должно быть утверждено заявителем в течение 3 рабочих дней со дня получения последнего согласования с проставлением подписи уполномоченного заявителем должностного лица и даты утверждения.</w:t>
      </w:r>
    </w:p>
    <w:p>
      <w:pPr>
        <w:pStyle w:val="0"/>
        <w:spacing w:before="240" w:lineRule="auto"/>
        <w:ind w:firstLine="540"/>
        <w:jc w:val="both"/>
      </w:pPr>
      <w:r>
        <w:rPr>
          <w:sz w:val="24"/>
        </w:rPr>
        <w:t xml:space="preserve">22. В случае если в ходе разработки схемы выдачи мощности (схемы внешнего электроснабжения) у заявителя возникает необходимость частичного отступления от требований, указанных в техническом задании, внесение изменений в техническое задание и их согласование с субъектом оперативно-диспетчерского управления и сетевой организацией должно осуществляться в порядке, предусмотренном настоящей главой Правил для согласования проекта технического задания.</w:t>
      </w:r>
    </w:p>
    <w:p>
      <w:pPr>
        <w:pStyle w:val="0"/>
        <w:spacing w:before="240" w:lineRule="auto"/>
        <w:ind w:firstLine="540"/>
        <w:jc w:val="both"/>
      </w:pPr>
      <w:r>
        <w:rPr>
          <w:sz w:val="24"/>
        </w:rPr>
        <w:t xml:space="preserve">23. После утверждения технического задания (изменений в техническое задание) заявитель должен в течение 5 рабочих дней с даты его (их) утверждения направить субъекту оперативно-диспетчерского управления и сетевой организации электронную копию утвержденного технического задания (утвержденных изменений в техническое задание) на бумажном носителе, созданную путем его (их) сканирования, а в случае если техническое задание (изменения в техническое задание) созданы и утверждены в форме электронного документа - копию такого электронного документа, подтвержденную электронной подписью лица, уполномоченного действовать от имени заявителя.</w:t>
      </w:r>
    </w:p>
    <w:p>
      <w:pPr>
        <w:pStyle w:val="0"/>
        <w:jc w:val="both"/>
      </w:pPr>
      <w:r>
        <w:rPr>
          <w:sz w:val="24"/>
        </w:rPr>
      </w:r>
    </w:p>
    <w:p>
      <w:pPr>
        <w:pStyle w:val="2"/>
        <w:outlineLvl w:val="1"/>
        <w:jc w:val="center"/>
      </w:pPr>
      <w:r>
        <w:rPr>
          <w:sz w:val="24"/>
        </w:rPr>
        <w:t xml:space="preserve">III. Требования к сбору и предоставлению исходных</w:t>
      </w:r>
    </w:p>
    <w:p>
      <w:pPr>
        <w:pStyle w:val="2"/>
        <w:jc w:val="center"/>
      </w:pPr>
      <w:r>
        <w:rPr>
          <w:sz w:val="24"/>
        </w:rPr>
        <w:t xml:space="preserve">данных для разработки схемы выдачи мощности, схемы внешнего</w:t>
      </w:r>
    </w:p>
    <w:p>
      <w:pPr>
        <w:pStyle w:val="2"/>
        <w:jc w:val="center"/>
      </w:pPr>
      <w:r>
        <w:rPr>
          <w:sz w:val="24"/>
        </w:rPr>
        <w:t xml:space="preserve">электроснабжения</w:t>
      </w:r>
    </w:p>
    <w:p>
      <w:pPr>
        <w:pStyle w:val="0"/>
        <w:jc w:val="both"/>
      </w:pPr>
      <w:r>
        <w:rPr>
          <w:sz w:val="24"/>
        </w:rPr>
      </w:r>
    </w:p>
    <w:bookmarkStart w:id="131" w:name="P131"/>
    <w:bookmarkEnd w:id="131"/>
    <w:p>
      <w:pPr>
        <w:pStyle w:val="0"/>
        <w:ind w:firstLine="540"/>
        <w:jc w:val="both"/>
      </w:pPr>
      <w:r>
        <w:rPr>
          <w:sz w:val="24"/>
        </w:rPr>
        <w:t xml:space="preserve">24. Разработка схемы выдачи мощности (схемы внешнего электроснабжения) должна осуществляться заявителем либо привлеченной им проектной организацией с использованием перспективных расчетных моделей электроэнергетических систем или их фрагментов, формируемых и предоставляемых системным оператором в соответствии с </w:t>
      </w:r>
      <w:hyperlink w:history="0" r:id="rId49"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порядком</w:t>
        </w:r>
      </w:hyperlink>
      <w:r>
        <w:rPr>
          <w:sz w:val="24"/>
        </w:rPr>
        <w:t xml:space="preserve">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утвержденным Минэнерго России в соответствии с </w:t>
      </w:r>
      <w:hyperlink w:history="0" r:id="rId50" w:tooltip="Федеральный закон от 26.03.2003 N 35-ФЗ (ред. от 27.10.2025) &quot;Об электроэнергетике&quot; ------------ Недействующая редакция {КонсультантПлюс}">
        <w:r>
          <w:rPr>
            <w:sz w:val="24"/>
            <w:color w:val="0000ff"/>
          </w:rPr>
          <w:t xml:space="preserve">пунктом 11 статьи 6.1</w:t>
        </w:r>
      </w:hyperlink>
      <w:r>
        <w:rPr>
          <w:sz w:val="24"/>
        </w:rPr>
        <w:t xml:space="preserve"> и </w:t>
      </w:r>
      <w:hyperlink w:history="0" r:id="rId51" w:tooltip="Федеральный закон от 26.03.2003 N 35-ФЗ (ред. от 27.10.2025) &quot;Об электроэнергетике&quot; ------------ Недействующая редакция {КонсультантПлюс}">
        <w:r>
          <w:rPr>
            <w:sz w:val="24"/>
            <w:color w:val="0000ff"/>
          </w:rPr>
          <w:t xml:space="preserve">абзацем пятидесятым пункта 2 статьи 21</w:t>
        </w:r>
      </w:hyperlink>
      <w:r>
        <w:rPr>
          <w:sz w:val="24"/>
        </w:rPr>
        <w:t xml:space="preserve"> Федерального закона "Об электроэнергетике".</w:t>
      </w:r>
    </w:p>
    <w:p>
      <w:pPr>
        <w:pStyle w:val="0"/>
        <w:spacing w:before="240" w:lineRule="auto"/>
        <w:ind w:firstLine="540"/>
        <w:jc w:val="both"/>
      </w:pPr>
      <w:r>
        <w:rPr>
          <w:sz w:val="24"/>
        </w:rPr>
        <w:t xml:space="preserve">Разработка в период до 31 декабря 2023 г. включительно схемы выдачи мощности (схемы внешнего электроснабжения) для технологического присоединения к электрическим сетям в технологически изолированной территориальной электроэнергетической системе должна осуществляться с использованием математических расчетных моделей, сформированных заявителем или привлеченной им проектной организацией.</w:t>
      </w:r>
    </w:p>
    <w:p>
      <w:pPr>
        <w:pStyle w:val="0"/>
        <w:spacing w:before="240" w:lineRule="auto"/>
        <w:ind w:firstLine="540"/>
        <w:jc w:val="both"/>
      </w:pPr>
      <w:r>
        <w:rPr>
          <w:sz w:val="24"/>
        </w:rPr>
        <w:t xml:space="preserve">Для разработки схемы выдачи мощности (схемы внешнего электроснабжения) и выполнения расчетов, предусмотренных техническим заданием (при технологическом присоединении к электрическим сетям в технологически изолированных территориальных электроэнергетических системах - также для формирования математических расчетных моделей в период до 31 декабря 2023 г. включительно), заявитель или привлеченная заявителем проектная организация должны осуществить сбор необходимых для этого исходных данных, в том числе путем направления субъекту оперативно-диспетчерского управления, сетевой организации и (или) другим субъектам электроэнергетики запросов о предоставлении исходных данных, отсутствующих у заявителя и привлеченной им проектной организации.</w:t>
      </w:r>
    </w:p>
    <w:p>
      <w:pPr>
        <w:pStyle w:val="0"/>
        <w:jc w:val="both"/>
      </w:pPr>
      <w:r>
        <w:rPr>
          <w:sz w:val="24"/>
        </w:rPr>
        <w:t xml:space="preserve">(п. 24 в ред. </w:t>
      </w:r>
      <w:hyperlink w:history="0" r:id="rId52"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25. Запросы субъекту оперативно-диспетчерского управления, сетевой организации и другим субъектам электроэнергетики о предоставлении исходных данных должны направляться заявителем (привлеченной им проектной организацией) в письменной форме путем направления письма за подписью уполномоченного заявителем должностного лица с приложением копии утвержденного технического задания. В запросе о предоставлении исходных данных (далее - запрос) также должен быть указан состав и объем запрашиваемой информации в пределах перечня, установленного </w:t>
      </w:r>
      <w:hyperlink w:history="0" w:anchor="P136" w:tooltip="26. Исходными данными, предоставляемыми субъектами оперативно-диспетчерского управления в технологически изолированных территориальных электроэнергетических системах в период до 31 декабря 2023 г. включительно, являются:">
        <w:r>
          <w:rPr>
            <w:sz w:val="24"/>
            <w:color w:val="0000ff"/>
          </w:rPr>
          <w:t xml:space="preserve">пунктами 26</w:t>
        </w:r>
      </w:hyperlink>
      <w:r>
        <w:rPr>
          <w:sz w:val="24"/>
        </w:rPr>
        <w:t xml:space="preserve"> и </w:t>
      </w:r>
      <w:hyperlink w:history="0" w:anchor="P156" w:tooltip="27. Исходными данными, предоставляемыми сетевой организацией, собственниками и иными законными владельцами других объектов электроэнергетики в отношении принадлежащих им электрических сетей и объектов электроэнергетики являются:">
        <w:r>
          <w:rPr>
            <w:sz w:val="24"/>
            <w:color w:val="0000ff"/>
          </w:rPr>
          <w:t xml:space="preserve">27</w:t>
        </w:r>
      </w:hyperlink>
      <w:r>
        <w:rPr>
          <w:sz w:val="24"/>
        </w:rPr>
        <w:t xml:space="preserve"> Правил.</w:t>
      </w:r>
    </w:p>
    <w:bookmarkStart w:id="136" w:name="P136"/>
    <w:bookmarkEnd w:id="136"/>
    <w:p>
      <w:pPr>
        <w:pStyle w:val="0"/>
        <w:spacing w:before="240" w:lineRule="auto"/>
        <w:ind w:firstLine="540"/>
        <w:jc w:val="both"/>
      </w:pPr>
      <w:r>
        <w:rPr>
          <w:sz w:val="24"/>
        </w:rPr>
        <w:t xml:space="preserve">26. Исходными данными, предоставляемыми субъектами оперативно-диспетчерского управления в технологически изолированных территориальных электроэнергетических системах в период до 31 декабря 2023 г. включительно, являются:</w:t>
      </w:r>
    </w:p>
    <w:p>
      <w:pPr>
        <w:pStyle w:val="0"/>
        <w:jc w:val="both"/>
      </w:pPr>
      <w:r>
        <w:rPr>
          <w:sz w:val="24"/>
        </w:rPr>
        <w:t xml:space="preserve">(в ред. </w:t>
      </w:r>
      <w:hyperlink w:history="0" r:id="rId53"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результаты последнего зимнего и летнего контрольного замера потокораспределения, мощности нагрузок и уровней напряжения (далее - контрольный замер) в электрической сети территориальной энергосистемы, на территории которой расположены (будут расположены) объект по производству электрической энергии или энергопринимающие устройства заявителя, и смежных территориальных энергосистем, моделирование и расчет электроэнергетических режимов которых необходимы в соответствии с техническим заданием (далее - соответствующая территориальная энергосистема);</w:t>
      </w:r>
    </w:p>
    <w:p>
      <w:pPr>
        <w:pStyle w:val="0"/>
        <w:jc w:val="both"/>
      </w:pPr>
      <w:r>
        <w:rPr>
          <w:sz w:val="24"/>
        </w:rPr>
        <w:t xml:space="preserve">(в ред. </w:t>
      </w:r>
      <w:hyperlink w:history="0" r:id="rId54"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p>
      <w:pPr>
        <w:pStyle w:val="0"/>
        <w:spacing w:before="240" w:lineRule="auto"/>
        <w:ind w:firstLine="540"/>
        <w:jc w:val="both"/>
      </w:pPr>
      <w:r>
        <w:rPr>
          <w:sz w:val="24"/>
        </w:rPr>
        <w:t xml:space="preserve">результаты последних из проведенных расчетов текущих величин действующих значений периодической составляющей токов короткого замыкания в начальный момент времени для установившегося режима в электрической сети соответствующей территориальной энергосистемы;</w:t>
      </w:r>
    </w:p>
    <w:p>
      <w:pPr>
        <w:pStyle w:val="0"/>
        <w:spacing w:before="240" w:lineRule="auto"/>
        <w:ind w:firstLine="540"/>
        <w:jc w:val="both"/>
      </w:pPr>
      <w:r>
        <w:rPr>
          <w:sz w:val="24"/>
        </w:rPr>
        <w:t xml:space="preserve">динамика изменения собственных максимумов потребления мощности и потребления электрической энергии в электрической сети соответствующей территориальной энергосистемы за последние 5 лет, предшествующие году получения субъектом оперативно-диспетчерского управления запроса;</w:t>
      </w:r>
    </w:p>
    <w:p>
      <w:pPr>
        <w:pStyle w:val="0"/>
        <w:spacing w:before="240" w:lineRule="auto"/>
        <w:ind w:firstLine="540"/>
        <w:jc w:val="both"/>
      </w:pPr>
      <w:r>
        <w:rPr>
          <w:sz w:val="24"/>
        </w:rPr>
        <w:t xml:space="preserve">нормальная схема электрических соединений объектов электроэнергетики соответствующей территориальной энергосистемы, действующая на дату получения запроса;</w:t>
      </w:r>
    </w:p>
    <w:p>
      <w:pPr>
        <w:pStyle w:val="0"/>
        <w:spacing w:before="240" w:lineRule="auto"/>
        <w:ind w:firstLine="540"/>
        <w:jc w:val="both"/>
      </w:pPr>
      <w:r>
        <w:rPr>
          <w:sz w:val="24"/>
        </w:rPr>
        <w:t xml:space="preserve">информация о характерной загрузке существующих и иных планируемых к строительству (реконструкции) электростанций в энергорайоне, на территории которого планируется строительство (реконструкция, увеличение максимальной мощности) объекта по производству электрической энергии или технологическое присоединение энергопринимающих устройств заявителя, определяемой в соответствии с </w:t>
      </w:r>
      <w:hyperlink w:history="0" w:anchor="P301" w:tooltip="6. При выполнении расчетов электроэнергетических режимов и определении основных технических решений по выдаче мощности объекта по производству электрической энергии мощность объекта по производству электрической энергии, для которого осуществляется разработка схемы выдачи мощности, нагрузка иных существующих и планируемых к строительству (реконструкции) электростанций энергорайона должны определяться с соблюдением требований, установленных настоящим пунктом.">
        <w:r>
          <w:rPr>
            <w:sz w:val="24"/>
            <w:color w:val="0000ff"/>
          </w:rPr>
          <w:t xml:space="preserve">пунктом 6</w:t>
        </w:r>
      </w:hyperlink>
      <w:r>
        <w:rPr>
          <w:sz w:val="24"/>
        </w:rPr>
        <w:t xml:space="preserve"> приложения N 1 к Правилам;</w:t>
      </w:r>
    </w:p>
    <w:p>
      <w:pPr>
        <w:pStyle w:val="0"/>
        <w:jc w:val="both"/>
      </w:pPr>
      <w:r>
        <w:rPr>
          <w:sz w:val="24"/>
        </w:rPr>
        <w:t xml:space="preserve">(в ред. </w:t>
      </w:r>
      <w:hyperlink w:history="0" r:id="rId55"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коэффициенты зависимости изменения максимума потребления мощности соответствующей территориальной энергосистемы при изменении температуры наружного воздуха во всем диапазоне температур;</w:t>
      </w:r>
    </w:p>
    <w:p>
      <w:pPr>
        <w:pStyle w:val="0"/>
        <w:spacing w:before="240" w:lineRule="auto"/>
        <w:ind w:firstLine="540"/>
        <w:jc w:val="both"/>
      </w:pPr>
      <w:r>
        <w:rPr>
          <w:sz w:val="24"/>
        </w:rPr>
        <w:t xml:space="preserve">коэффициенты суточной неравномерности графика потребления мощности за последние три года, предшествующие году получения субъектом оперативно-диспетчерского управления запроса, для летнего и зимнего периодов, определяемые как соотношение минимального и максимального потребления мощности в сутки прохождения зимнего и летнего максимума потребления мощности, в том числе отдельно для периода паводка;</w:t>
      </w:r>
    </w:p>
    <w:p>
      <w:pPr>
        <w:pStyle w:val="0"/>
        <w:spacing w:before="240" w:lineRule="auto"/>
        <w:ind w:firstLine="540"/>
        <w:jc w:val="both"/>
      </w:pPr>
      <w:r>
        <w:rPr>
          <w:sz w:val="24"/>
        </w:rPr>
        <w:t xml:space="preserve">сведения о контролируемых сечениях в соответствующей территориальной энергосистеме.</w:t>
      </w:r>
    </w:p>
    <w:p>
      <w:pPr>
        <w:pStyle w:val="0"/>
        <w:spacing w:before="240" w:lineRule="auto"/>
        <w:ind w:firstLine="540"/>
        <w:jc w:val="both"/>
      </w:pPr>
      <w:r>
        <w:rPr>
          <w:sz w:val="24"/>
        </w:rPr>
        <w:t xml:space="preserve">Исходными данными, предоставляемыми системным оператором, являются:</w:t>
      </w:r>
    </w:p>
    <w:p>
      <w:pPr>
        <w:pStyle w:val="0"/>
        <w:jc w:val="both"/>
      </w:pPr>
      <w:r>
        <w:rPr>
          <w:sz w:val="24"/>
        </w:rPr>
        <w:t xml:space="preserve">(в ред. </w:t>
      </w:r>
      <w:hyperlink w:history="0" r:id="rId56"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p>
      <w:pPr>
        <w:pStyle w:val="0"/>
        <w:spacing w:before="240" w:lineRule="auto"/>
        <w:ind w:firstLine="540"/>
        <w:jc w:val="both"/>
      </w:pPr>
      <w:r>
        <w:rPr>
          <w:sz w:val="24"/>
        </w:rPr>
        <w:t xml:space="preserve">информация о характерной загрузке существующих и иных планируемых к строительству (реконструкции) электростанций в энергорайоне, на территории которого планируется строительство (реконструкция, увеличение максимальной мощности) объекта по производству электрической энергии или технологическое присоединение энергопринимающих устройств заявителя, определяемой в соответствии с </w:t>
      </w:r>
      <w:hyperlink w:history="0" w:anchor="P301" w:tooltip="6. При выполнении расчетов электроэнергетических режимов и определении основных технических решений по выдаче мощности объекта по производству электрической энергии мощность объекта по производству электрической энергии, для которого осуществляется разработка схемы выдачи мощности, нагрузка иных существующих и планируемых к строительству (реконструкции) электростанций энергорайона должны определяться с соблюдением требований, установленных настоящим пунктом.">
        <w:r>
          <w:rPr>
            <w:sz w:val="24"/>
            <w:color w:val="0000ff"/>
          </w:rPr>
          <w:t xml:space="preserve">пунктом 6</w:t>
        </w:r>
      </w:hyperlink>
      <w:r>
        <w:rPr>
          <w:sz w:val="24"/>
        </w:rPr>
        <w:t xml:space="preserve"> приложения N 1 к Правилам, предоставляемая отдельно либо в составе перспективных расчетных моделей энергосистем или их фрагментов, указанных в </w:t>
      </w:r>
      <w:hyperlink w:history="0" w:anchor="P131" w:tooltip="24. Разработка схемы выдачи мощности (схемы внешнего электроснабжения) должна осуществляться заявителем либо привлеченной им проектной организацией с использованием перспективных расчетных моделей электроэнергетических систем или их фрагментов, формируемых и предоставляемых системным оператором в соответствии с порядком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
        <w:r>
          <w:rPr>
            <w:sz w:val="24"/>
            <w:color w:val="0000ff"/>
          </w:rPr>
          <w:t xml:space="preserve">абзаце первом пункта 24</w:t>
        </w:r>
      </w:hyperlink>
      <w:r>
        <w:rPr>
          <w:sz w:val="24"/>
        </w:rPr>
        <w:t xml:space="preserve"> Правил;</w:t>
      </w:r>
    </w:p>
    <w:p>
      <w:pPr>
        <w:pStyle w:val="0"/>
        <w:jc w:val="both"/>
      </w:pPr>
      <w:r>
        <w:rPr>
          <w:sz w:val="24"/>
        </w:rPr>
        <w:t xml:space="preserve">(абзац введен </w:t>
      </w:r>
      <w:hyperlink w:history="0" r:id="rId57"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Приказом</w:t>
        </w:r>
      </w:hyperlink>
      <w:r>
        <w:rPr>
          <w:sz w:val="24"/>
        </w:rPr>
        <w:t xml:space="preserve"> Минэнерго России от 28.04.2023 N 289)</w:t>
      </w:r>
    </w:p>
    <w:p>
      <w:pPr>
        <w:pStyle w:val="0"/>
        <w:spacing w:before="240" w:lineRule="auto"/>
        <w:ind w:firstLine="540"/>
        <w:jc w:val="both"/>
      </w:pPr>
      <w:r>
        <w:rPr>
          <w:sz w:val="24"/>
        </w:rPr>
        <w:t xml:space="preserve">результаты последнего обработанного контрольного замера в электрической сети соответствующей территориальной энергосистемы или расчетная модель соответствующей территориальной энергосистемы, актуализированная с учетом результатов последнего обработанного контрольного замера;</w:t>
      </w:r>
    </w:p>
    <w:p>
      <w:pPr>
        <w:pStyle w:val="0"/>
        <w:jc w:val="both"/>
      </w:pPr>
      <w:r>
        <w:rPr>
          <w:sz w:val="24"/>
        </w:rPr>
        <w:t xml:space="preserve">(абзац введен </w:t>
      </w:r>
      <w:hyperlink w:history="0" r:id="rId58"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Приказом</w:t>
        </w:r>
      </w:hyperlink>
      <w:r>
        <w:rPr>
          <w:sz w:val="24"/>
        </w:rPr>
        <w:t xml:space="preserve"> Минэнерго России от 28.04.2023 N 289)</w:t>
      </w:r>
    </w:p>
    <w:p>
      <w:pPr>
        <w:pStyle w:val="0"/>
        <w:spacing w:before="240" w:lineRule="auto"/>
        <w:ind w:firstLine="540"/>
        <w:jc w:val="both"/>
      </w:pPr>
      <w:r>
        <w:rPr>
          <w:sz w:val="24"/>
        </w:rPr>
        <w:t xml:space="preserve">нормальная схема электрических соединений объектов электроэнергетики соответствующей территориальной энергосистемы, действующая на дату получения запроса.</w:t>
      </w:r>
    </w:p>
    <w:p>
      <w:pPr>
        <w:pStyle w:val="0"/>
        <w:jc w:val="both"/>
      </w:pPr>
      <w:r>
        <w:rPr>
          <w:sz w:val="24"/>
        </w:rPr>
        <w:t xml:space="preserve">(абзац введен </w:t>
      </w:r>
      <w:hyperlink w:history="0" r:id="rId59"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Приказом</w:t>
        </w:r>
      </w:hyperlink>
      <w:r>
        <w:rPr>
          <w:sz w:val="24"/>
        </w:rPr>
        <w:t xml:space="preserve"> Минэнерго России от 28.04.2023 N 289)</w:t>
      </w:r>
    </w:p>
    <w:bookmarkStart w:id="156" w:name="P156"/>
    <w:bookmarkEnd w:id="156"/>
    <w:p>
      <w:pPr>
        <w:pStyle w:val="0"/>
        <w:spacing w:before="240" w:lineRule="auto"/>
        <w:ind w:firstLine="540"/>
        <w:jc w:val="both"/>
      </w:pPr>
      <w:r>
        <w:rPr>
          <w:sz w:val="24"/>
        </w:rPr>
        <w:t xml:space="preserve">27. Исходными данными, предоставляемыми сетевой организацией, собственниками и иными законными владельцами других объектов электроэнергетики в отношении принадлежащих им электрических сетей и объектов электроэнергетики являются:</w:t>
      </w:r>
    </w:p>
    <w:bookmarkStart w:id="157" w:name="P157"/>
    <w:bookmarkEnd w:id="157"/>
    <w:p>
      <w:pPr>
        <w:pStyle w:val="0"/>
        <w:spacing w:before="240" w:lineRule="auto"/>
        <w:ind w:firstLine="540"/>
        <w:jc w:val="both"/>
      </w:pPr>
      <w:r>
        <w:rPr>
          <w:sz w:val="24"/>
        </w:rPr>
        <w:t xml:space="preserve">технические параметры линий электропередачи (далее - ЛЭП) и электросетевого оборудования (включая допустимые токовые нагрузки ЛЭП и электросетевого оборудования, отключающую способность выключателей и иных коммутационных аппаратов);</w:t>
      </w:r>
    </w:p>
    <w:p>
      <w:pPr>
        <w:pStyle w:val="0"/>
        <w:spacing w:before="240" w:lineRule="auto"/>
        <w:ind w:firstLine="540"/>
        <w:jc w:val="both"/>
      </w:pPr>
      <w:r>
        <w:rPr>
          <w:sz w:val="24"/>
        </w:rPr>
        <w:t xml:space="preserve">технические параметры генерирующего оборудования;</w:t>
      </w:r>
    </w:p>
    <w:bookmarkStart w:id="159" w:name="P159"/>
    <w:bookmarkEnd w:id="159"/>
    <w:p>
      <w:pPr>
        <w:pStyle w:val="0"/>
        <w:spacing w:before="240" w:lineRule="auto"/>
        <w:ind w:firstLine="540"/>
        <w:jc w:val="both"/>
      </w:pPr>
      <w:r>
        <w:rPr>
          <w:sz w:val="24"/>
        </w:rPr>
        <w:t xml:space="preserve">нормальные схемы электрических соединений объектов электроэнергетики;</w:t>
      </w:r>
    </w:p>
    <w:p>
      <w:pPr>
        <w:pStyle w:val="0"/>
        <w:spacing w:before="240" w:lineRule="auto"/>
        <w:ind w:firstLine="540"/>
        <w:jc w:val="both"/>
      </w:pPr>
      <w:r>
        <w:rPr>
          <w:sz w:val="24"/>
        </w:rPr>
        <w:t xml:space="preserve">параметры и принципы действия комплексов и устройств релейной защиты и автоматики (далее - РЗА);</w:t>
      </w:r>
    </w:p>
    <w:p>
      <w:pPr>
        <w:pStyle w:val="0"/>
        <w:spacing w:before="240" w:lineRule="auto"/>
        <w:ind w:firstLine="540"/>
        <w:jc w:val="both"/>
      </w:pPr>
      <w:r>
        <w:rPr>
          <w:sz w:val="24"/>
        </w:rPr>
        <w:t xml:space="preserve">информация о каналах связи, используемых для функционирования комплексов и устройств РЗА.</w:t>
      </w:r>
    </w:p>
    <w:p>
      <w:pPr>
        <w:pStyle w:val="0"/>
        <w:spacing w:before="240" w:lineRule="auto"/>
        <w:ind w:firstLine="540"/>
        <w:jc w:val="both"/>
      </w:pPr>
      <w:r>
        <w:rPr>
          <w:sz w:val="24"/>
        </w:rPr>
        <w:t xml:space="preserve">Предусмотренные </w:t>
      </w:r>
      <w:hyperlink w:history="0" w:anchor="P157" w:tooltip="технические параметры линий электропередачи (далее - ЛЭП) и электросетевого оборудования (включая допустимые токовые нагрузки ЛЭП и электросетевого оборудования, отключающую способность выключателей и иных коммутационных аппаратов);">
        <w:r>
          <w:rPr>
            <w:sz w:val="24"/>
            <w:color w:val="0000ff"/>
          </w:rPr>
          <w:t xml:space="preserve">абзацами вторым</w:t>
        </w:r>
      </w:hyperlink>
      <w:r>
        <w:rPr>
          <w:sz w:val="24"/>
        </w:rPr>
        <w:t xml:space="preserve"> - </w:t>
      </w:r>
      <w:hyperlink w:history="0" w:anchor="P159" w:tooltip="нормальные схемы электрических соединений объектов электроэнергетики;">
        <w:r>
          <w:rPr>
            <w:sz w:val="24"/>
            <w:color w:val="0000ff"/>
          </w:rPr>
          <w:t xml:space="preserve">четвертым</w:t>
        </w:r>
      </w:hyperlink>
      <w:r>
        <w:rPr>
          <w:sz w:val="24"/>
        </w:rPr>
        <w:t xml:space="preserve"> настоящего пункта исходные данные предоставляются сетевой организацией, собственниками и иными законными владельцами других объектов электроэнергетики в отношении линий электропередачи и оборудования, информация о которых в соответствии с установленными Правительством Российской Федерации </w:t>
      </w:r>
      <w:hyperlink w:history="0" r:id="rId60" w:tooltip="Постановление Правительства РФ от 30.12.2022 N 2557 (ред. от 07.02.2026) &quot;Об утверждении Правил формирования и поддержания в актуальном состоянии цифровых информационных моделей электроэнергетических систем и перспективных расчетных моделей электроэнергетических систем для целей перспективного развития электроэнергетики&quot; {КонсультантПлюс}">
        <w:r>
          <w:rPr>
            <w:sz w:val="24"/>
            <w:color w:val="0000ff"/>
          </w:rPr>
          <w:t xml:space="preserve">правилами</w:t>
        </w:r>
      </w:hyperlink>
      <w:r>
        <w:rPr>
          <w:sz w:val="24"/>
        </w:rPr>
        <w:t xml:space="preserve"> формирования и поддержания в актуальном состоянии цифровых информационных моделей электроэнергетических систем и перспективных расчетных моделей электроэнергетических систем для целей перспективного развития электроэнергетики не подлежит включению системным оператором в перспективные расчетные модели электроэнергетических систем.</w:t>
      </w:r>
    </w:p>
    <w:p>
      <w:pPr>
        <w:pStyle w:val="0"/>
        <w:jc w:val="both"/>
      </w:pPr>
      <w:r>
        <w:rPr>
          <w:sz w:val="24"/>
        </w:rPr>
        <w:t xml:space="preserve">(абзац введен </w:t>
      </w:r>
      <w:hyperlink w:history="0" r:id="rId61"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Приказом</w:t>
        </w:r>
      </w:hyperlink>
      <w:r>
        <w:rPr>
          <w:sz w:val="24"/>
        </w:rPr>
        <w:t xml:space="preserve"> Минэнерго России от 17.02.2023 N 82)</w:t>
      </w:r>
    </w:p>
    <w:bookmarkStart w:id="164" w:name="P164"/>
    <w:bookmarkEnd w:id="164"/>
    <w:p>
      <w:pPr>
        <w:pStyle w:val="0"/>
        <w:spacing w:before="240" w:lineRule="auto"/>
        <w:ind w:firstLine="540"/>
        <w:jc w:val="both"/>
      </w:pPr>
      <w:r>
        <w:rPr>
          <w:sz w:val="24"/>
        </w:rPr>
        <w:t xml:space="preserve">28. При получении запроса субъект оперативно-диспетчерского управления, сетевая организация или другой субъект электроэнергетики (далее также - получатели запроса) обязаны в течение 15 рабочих дней со дня получения запроса предоставить имеющуюся у них информацию в определенных ими формах и форматах в доступном для прочтения виде (rtf, pdf, формат текстовых файлов) либо в письменной форме уведомить заявителя (проектную организацию) об отсутствии соответствующих данных или невозможности их предоставления с указанием причин отказа.</w:t>
      </w:r>
    </w:p>
    <w:p>
      <w:pPr>
        <w:pStyle w:val="0"/>
        <w:spacing w:before="240" w:lineRule="auto"/>
        <w:ind w:firstLine="540"/>
        <w:jc w:val="both"/>
      </w:pPr>
      <w:r>
        <w:rPr>
          <w:sz w:val="24"/>
        </w:rPr>
        <w:t xml:space="preserve">Предоставление заявителю (привлеченной им проектной организации) запрашиваемых исходных данных должно осуществляться без взимания с них дополнительной платы.</w:t>
      </w:r>
    </w:p>
    <w:p>
      <w:pPr>
        <w:pStyle w:val="0"/>
        <w:spacing w:before="240" w:lineRule="auto"/>
        <w:ind w:firstLine="540"/>
        <w:jc w:val="both"/>
      </w:pPr>
      <w:r>
        <w:rPr>
          <w:sz w:val="24"/>
        </w:rPr>
        <w:t xml:space="preserve">29. Основаниями для отказа в предоставлении заявителю (привлеченной им проектной организации) исходных данных являются выполнение одного или нескольких из следующих условий:</w:t>
      </w:r>
    </w:p>
    <w:p>
      <w:pPr>
        <w:pStyle w:val="0"/>
        <w:spacing w:before="240" w:lineRule="auto"/>
        <w:ind w:firstLine="540"/>
        <w:jc w:val="both"/>
      </w:pPr>
      <w:r>
        <w:rPr>
          <w:sz w:val="24"/>
        </w:rPr>
        <w:t xml:space="preserve">запрашиваемые данные не входят в перечень исходных данных, указанный в </w:t>
      </w:r>
      <w:hyperlink w:history="0" w:anchor="P136" w:tooltip="26. Исходными данными, предоставляемыми субъектами оперативно-диспетчерского управления в технологически изолированных территориальных электроэнергетических системах в период до 31 декабря 2023 г. включительно, являются:">
        <w:r>
          <w:rPr>
            <w:sz w:val="24"/>
            <w:color w:val="0000ff"/>
          </w:rPr>
          <w:t xml:space="preserve">пунктах 26</w:t>
        </w:r>
      </w:hyperlink>
      <w:r>
        <w:rPr>
          <w:sz w:val="24"/>
        </w:rPr>
        <w:t xml:space="preserve"> и </w:t>
      </w:r>
      <w:hyperlink w:history="0" w:anchor="P156" w:tooltip="27. Исходными данными, предоставляемыми сетевой организацией, собственниками и иными законными владельцами других объектов электроэнергетики в отношении принадлежащих им электрических сетей и объектов электроэнергетики являются:">
        <w:r>
          <w:rPr>
            <w:sz w:val="24"/>
            <w:color w:val="0000ff"/>
          </w:rPr>
          <w:t xml:space="preserve">27</w:t>
        </w:r>
      </w:hyperlink>
      <w:r>
        <w:rPr>
          <w:sz w:val="24"/>
        </w:rPr>
        <w:t xml:space="preserve"> Правил;</w:t>
      </w:r>
    </w:p>
    <w:p>
      <w:pPr>
        <w:pStyle w:val="0"/>
        <w:spacing w:before="240" w:lineRule="auto"/>
        <w:ind w:firstLine="540"/>
        <w:jc w:val="both"/>
      </w:pPr>
      <w:r>
        <w:rPr>
          <w:sz w:val="24"/>
        </w:rPr>
        <w:t xml:space="preserve">указанный в запросе объект электроэнергетики не принадлежит получателю запроса на праве собственности или ином законном основании;</w:t>
      </w:r>
    </w:p>
    <w:p>
      <w:pPr>
        <w:pStyle w:val="0"/>
        <w:spacing w:before="240" w:lineRule="auto"/>
        <w:ind w:firstLine="540"/>
        <w:jc w:val="both"/>
      </w:pPr>
      <w:r>
        <w:rPr>
          <w:sz w:val="24"/>
        </w:rPr>
        <w:t xml:space="preserve">запрашиваемые данные не соответствуют содержанию утвержденного технического задания;</w:t>
      </w:r>
    </w:p>
    <w:p>
      <w:pPr>
        <w:pStyle w:val="0"/>
        <w:spacing w:before="240" w:lineRule="auto"/>
        <w:ind w:firstLine="540"/>
        <w:jc w:val="both"/>
      </w:pPr>
      <w:r>
        <w:rPr>
          <w:sz w:val="24"/>
        </w:rPr>
        <w:t xml:space="preserve">запрашиваемые данные опубликованы в открытом доступе на официальном сайте органа власти или ином публичном информационном ресурсе, официальном сайте получателя запроса или иного обладателя информации в информационно-телекоммуникационной сети "Интернет", либо содержатся в официально опубликованном документе, принятом органом власти, либо включены в государственную информационную систему и могут быть получены заявителем (привлеченной им проектной организацией) самостоятельно;</w:t>
      </w:r>
    </w:p>
    <w:p>
      <w:pPr>
        <w:pStyle w:val="0"/>
        <w:spacing w:before="240" w:lineRule="auto"/>
        <w:ind w:firstLine="540"/>
        <w:jc w:val="both"/>
      </w:pPr>
      <w:r>
        <w:rPr>
          <w:sz w:val="24"/>
        </w:rPr>
        <w:t xml:space="preserve">заявителем в установленный срок не выполнены требования и мероприятия по обеспечению защиты конфиденциальной информации - в случае, указанном в </w:t>
      </w:r>
      <w:hyperlink w:history="0" w:anchor="P172" w:tooltip="30. В случае если запрашиваемые заявителем (привлеченной им проектной организацией) данные отнесены получателем запроса к информации, составляющей коммерческую тайну или иную конфиденциальную информацию, доступ к которой может быть ограничен в соответствии с законодательством Российской Федерации, при получении и последующем использовании таких данных заявителем и проектной организацией должны быть соблюдены условия обращения с конфиденциальной информацией и выполнены требования и мероприятия по предоста...">
        <w:r>
          <w:rPr>
            <w:sz w:val="24"/>
            <w:color w:val="0000ff"/>
          </w:rPr>
          <w:t xml:space="preserve">пункте 30</w:t>
        </w:r>
      </w:hyperlink>
      <w:r>
        <w:rPr>
          <w:sz w:val="24"/>
        </w:rPr>
        <w:t xml:space="preserve"> Правил.</w:t>
      </w:r>
    </w:p>
    <w:bookmarkStart w:id="172" w:name="P172"/>
    <w:bookmarkEnd w:id="172"/>
    <w:p>
      <w:pPr>
        <w:pStyle w:val="0"/>
        <w:spacing w:before="240" w:lineRule="auto"/>
        <w:ind w:firstLine="540"/>
        <w:jc w:val="both"/>
      </w:pPr>
      <w:r>
        <w:rPr>
          <w:sz w:val="24"/>
        </w:rPr>
        <w:t xml:space="preserve">30. В случае если запрашиваемые заявителем (привлеченной им проектной организацией) данные отнесены получателем запроса к информации, составляющей коммерческую тайну или иную конфиденциальную информацию, доступ к которой может быть ограничен в соответствии с законодательством Российской Федерации, при получении и последующем использовании таких данных заявителем и проектной организацией должны быть соблюдены условия обращения с конфиденциальной информацией и выполнены требования и мероприятия по предоставлению, ограничению доступа третьих лиц и защите конфиденциальной информации, определенные получателем запроса в соответствии с Федеральным </w:t>
      </w:r>
      <w:hyperlink w:history="0" r:id="rId62" w:tooltip="Федеральный закон от 27.07.2006 N 149-ФЗ (ред. от 24.06.2025) &quot;Об информации, информационных технологиях и о защите информации&quot; (с изм. и доп., вступ. в силу с 01.01.2026) ------------ Недействующая редакция {КонсультантПлюс}">
        <w:r>
          <w:rPr>
            <w:sz w:val="24"/>
            <w:color w:val="0000ff"/>
          </w:rPr>
          <w:t xml:space="preserve">законом</w:t>
        </w:r>
      </w:hyperlink>
      <w:r>
        <w:rPr>
          <w:sz w:val="24"/>
        </w:rPr>
        <w:t xml:space="preserve"> от 27 июля 2006 г. N 149-ФЗ "Об информации, информационных технологиях и о защите информации" (Собрание законодательства Российской Федерации, 2006, N 31, ст. 3448; 2020, N 24, ст. 3751) и Федеральным </w:t>
      </w:r>
      <w:hyperlink w:history="0" r:id="rId63" w:tooltip="Федеральный закон от 29.07.2004 N 98-ФЗ (ред. от 08.08.2024) &quot;О коммерческой тайне&quot; {КонсультантПлюс}">
        <w:r>
          <w:rPr>
            <w:sz w:val="24"/>
            <w:color w:val="0000ff"/>
          </w:rPr>
          <w:t xml:space="preserve">законом</w:t>
        </w:r>
      </w:hyperlink>
      <w:r>
        <w:rPr>
          <w:sz w:val="24"/>
        </w:rPr>
        <w:t xml:space="preserve"> от 29 июля 2004 г. N 98-ФЗ "О коммерческой тайне" (Собрание законодательства Российской Федерации, 2004, N 32, ст. 3283; 2018, N 17, ст. 2435).</w:t>
      </w:r>
    </w:p>
    <w:p>
      <w:pPr>
        <w:pStyle w:val="0"/>
        <w:spacing w:before="240" w:lineRule="auto"/>
        <w:ind w:firstLine="540"/>
        <w:jc w:val="both"/>
      </w:pPr>
      <w:r>
        <w:rPr>
          <w:sz w:val="24"/>
        </w:rPr>
        <w:t xml:space="preserve">Получатель запроса обязан в срок не более 5 рабочих дней со дня, следующего за получением запроса, в письменной форме уведомить заявителя или привлеченную им проектную организацию о необходимости выполнения таких требований и мероприятий.</w:t>
      </w:r>
    </w:p>
    <w:p>
      <w:pPr>
        <w:pStyle w:val="0"/>
        <w:spacing w:before="240" w:lineRule="auto"/>
        <w:ind w:firstLine="540"/>
        <w:jc w:val="both"/>
      </w:pPr>
      <w:r>
        <w:rPr>
          <w:sz w:val="24"/>
        </w:rPr>
        <w:t xml:space="preserve">Заявитель или привлеченная им проектная организация обязаны выполнить соответствующие требования и мероприятия в срок не более 15 рабочих дней со дня получения вышеуказанного уведомления. В указанном случае срок предоставления заявителю исходных данных, установленный </w:t>
      </w:r>
      <w:hyperlink w:history="0" w:anchor="P164" w:tooltip="28. При получении запроса субъект оперативно-диспетчерского управления, сетевая организация или другой субъект электроэнергетики (далее также - получатели запроса) обязаны в течение 15 рабочих дней со дня получения запроса предоставить имеющуюся у них информацию в определенных ими формах и форматах в доступном для прочтения виде (rtf, pdf, формат текстовых файлов) либо в письменной форме уведомить заявителя (проектную организацию) об отсутствии соответствующих данных или невозможности их предоставления с...">
        <w:r>
          <w:rPr>
            <w:sz w:val="24"/>
            <w:color w:val="0000ff"/>
          </w:rPr>
          <w:t xml:space="preserve">пунктом 28</w:t>
        </w:r>
      </w:hyperlink>
      <w:r>
        <w:rPr>
          <w:sz w:val="24"/>
        </w:rPr>
        <w:t xml:space="preserve"> Правил, должен быть увеличен получателем запроса на срок выполнения заявителем таких требований и мероприятий.</w:t>
      </w:r>
    </w:p>
    <w:p>
      <w:pPr>
        <w:pStyle w:val="0"/>
        <w:jc w:val="both"/>
      </w:pPr>
      <w:r>
        <w:rPr>
          <w:sz w:val="24"/>
        </w:rPr>
      </w:r>
    </w:p>
    <w:bookmarkStart w:id="176" w:name="P176"/>
    <w:bookmarkEnd w:id="176"/>
    <w:p>
      <w:pPr>
        <w:pStyle w:val="2"/>
        <w:outlineLvl w:val="1"/>
        <w:jc w:val="center"/>
      </w:pPr>
      <w:r>
        <w:rPr>
          <w:sz w:val="24"/>
        </w:rPr>
        <w:t xml:space="preserve">IV. Требования к формированию и верификации математических</w:t>
      </w:r>
    </w:p>
    <w:p>
      <w:pPr>
        <w:pStyle w:val="2"/>
        <w:jc w:val="center"/>
      </w:pPr>
      <w:r>
        <w:rPr>
          <w:sz w:val="24"/>
        </w:rPr>
        <w:t xml:space="preserve">расчетных моделей</w:t>
      </w:r>
    </w:p>
    <w:p>
      <w:pPr>
        <w:pStyle w:val="0"/>
        <w:jc w:val="both"/>
      </w:pPr>
      <w:r>
        <w:rPr>
          <w:sz w:val="24"/>
        </w:rPr>
      </w:r>
    </w:p>
    <w:p>
      <w:pPr>
        <w:pStyle w:val="0"/>
        <w:ind w:firstLine="540"/>
        <w:jc w:val="both"/>
      </w:pPr>
      <w:r>
        <w:rPr>
          <w:sz w:val="24"/>
        </w:rPr>
        <w:t xml:space="preserve">Глава утратила силу с 1 января 2024 года. - </w:t>
      </w:r>
      <w:hyperlink w:history="0" r:id="rId64"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w:t>
        </w:r>
      </w:hyperlink>
      <w:r>
        <w:rPr>
          <w:sz w:val="24"/>
        </w:rPr>
        <w:t xml:space="preserve"> Минэнерго России от 17.02.2023 N 82.</w:t>
      </w:r>
    </w:p>
    <w:p>
      <w:pPr>
        <w:pStyle w:val="0"/>
        <w:jc w:val="both"/>
      </w:pPr>
      <w:r>
        <w:rPr>
          <w:sz w:val="24"/>
        </w:rPr>
      </w:r>
    </w:p>
    <w:p>
      <w:pPr>
        <w:pStyle w:val="2"/>
        <w:outlineLvl w:val="1"/>
        <w:jc w:val="center"/>
      </w:pPr>
      <w:r>
        <w:rPr>
          <w:sz w:val="24"/>
        </w:rPr>
        <w:t xml:space="preserve">V. Требования к содержанию, разработке и согласованию схемы</w:t>
      </w:r>
    </w:p>
    <w:p>
      <w:pPr>
        <w:pStyle w:val="2"/>
        <w:jc w:val="center"/>
      </w:pPr>
      <w:r>
        <w:rPr>
          <w:sz w:val="24"/>
        </w:rPr>
        <w:t xml:space="preserve">выдачи мощности (схемы внешнего электроснабжения)</w:t>
      </w:r>
    </w:p>
    <w:p>
      <w:pPr>
        <w:pStyle w:val="0"/>
        <w:jc w:val="both"/>
      </w:pPr>
      <w:r>
        <w:rPr>
          <w:sz w:val="24"/>
        </w:rPr>
      </w:r>
    </w:p>
    <w:p>
      <w:pPr>
        <w:pStyle w:val="0"/>
        <w:ind w:firstLine="540"/>
        <w:jc w:val="both"/>
      </w:pPr>
      <w:r>
        <w:rPr>
          <w:sz w:val="24"/>
        </w:rPr>
        <w:t xml:space="preserve">44. Разработка схемы выдачи мощности (схемы внешнего электроснабжения) должна осуществляться заявителем либо привлеченной им проектной организацией на основании согласованного в соответствии с </w:t>
      </w:r>
      <w:hyperlink w:history="0" w:anchor="P99" w:tooltip="II. Требования к разработке и согласованию">
        <w:r>
          <w:rPr>
            <w:sz w:val="24"/>
            <w:color w:val="0000ff"/>
          </w:rPr>
          <w:t xml:space="preserve">главой II</w:t>
        </w:r>
      </w:hyperlink>
      <w:r>
        <w:rPr>
          <w:sz w:val="24"/>
        </w:rPr>
        <w:t xml:space="preserve"> Правил и утвержденного заявителем технического задания и с использованием перспективных расчетных моделей электроэнергетической системы, полученных от системного оператора.</w:t>
      </w:r>
    </w:p>
    <w:p>
      <w:pPr>
        <w:pStyle w:val="0"/>
        <w:spacing w:before="240" w:lineRule="auto"/>
        <w:ind w:firstLine="540"/>
        <w:jc w:val="both"/>
      </w:pPr>
      <w:r>
        <w:rPr>
          <w:sz w:val="24"/>
        </w:rPr>
        <w:t xml:space="preserve">Разработка в период до 31 декабря 2023 г. схемы выдачи мощности (схемы внешнего электроснабжения) для целей технологического присоединения объекта по производству электрической энергии (энергопринимающих устройств) к электрическим сетям в технологически изолированной территориальной электроэнергетической системе должна осуществляться заявителем либо привлеченной им проектной организацией на основании согласованного в соответствии с </w:t>
      </w:r>
      <w:hyperlink w:history="0" w:anchor="P99" w:tooltip="II. Требования к разработке и согласованию">
        <w:r>
          <w:rPr>
            <w:sz w:val="24"/>
            <w:color w:val="0000ff"/>
          </w:rPr>
          <w:t xml:space="preserve">главой II</w:t>
        </w:r>
      </w:hyperlink>
      <w:r>
        <w:rPr>
          <w:sz w:val="24"/>
        </w:rPr>
        <w:t xml:space="preserve"> Правил и утвержденного заявителем технического задания и с использованием математических расчетных моделей, сформированных и верифицированных в соответствии с </w:t>
      </w:r>
      <w:hyperlink w:history="0" w:anchor="P176" w:tooltip="IV. Требования к формированию и верификации математических">
        <w:r>
          <w:rPr>
            <w:sz w:val="24"/>
            <w:color w:val="0000ff"/>
          </w:rPr>
          <w:t xml:space="preserve">главой IV</w:t>
        </w:r>
      </w:hyperlink>
      <w:r>
        <w:rPr>
          <w:sz w:val="24"/>
        </w:rPr>
        <w:t xml:space="preserve"> Правил.</w:t>
      </w:r>
    </w:p>
    <w:p>
      <w:pPr>
        <w:pStyle w:val="0"/>
        <w:jc w:val="both"/>
      </w:pPr>
      <w:r>
        <w:rPr>
          <w:sz w:val="24"/>
        </w:rPr>
        <w:t xml:space="preserve">(п. 44 в ред. </w:t>
      </w:r>
      <w:hyperlink w:history="0" r:id="rId65"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45. В процессе разработки схемы выдачи мощности или схемы внешнего электроснабжения должны быть выполнены работы и проведены расчеты в соответствии с требованиями к составу и объему расчетов, составу и содержанию работ, указанными в </w:t>
      </w:r>
      <w:hyperlink w:history="0" w:anchor="P278" w:tooltip="ТРЕБОВАНИЯ">
        <w:r>
          <w:rPr>
            <w:sz w:val="24"/>
            <w:color w:val="0000ff"/>
          </w:rPr>
          <w:t xml:space="preserve">приложении N 1</w:t>
        </w:r>
      </w:hyperlink>
      <w:r>
        <w:rPr>
          <w:sz w:val="24"/>
        </w:rPr>
        <w:t xml:space="preserve"> к Правилам для схемы выдачи мощности или </w:t>
      </w:r>
      <w:hyperlink w:history="0" w:anchor="P358" w:tooltip="ТРЕБОВАНИЯ">
        <w:r>
          <w:rPr>
            <w:sz w:val="24"/>
            <w:color w:val="0000ff"/>
          </w:rPr>
          <w:t xml:space="preserve">приложении N 2</w:t>
        </w:r>
      </w:hyperlink>
      <w:r>
        <w:rPr>
          <w:sz w:val="24"/>
        </w:rPr>
        <w:t xml:space="preserve"> к Правилам для схемы внешнего электроснабжения соответственно.</w:t>
      </w:r>
    </w:p>
    <w:p>
      <w:pPr>
        <w:pStyle w:val="0"/>
        <w:spacing w:before="240" w:lineRule="auto"/>
        <w:ind w:firstLine="540"/>
        <w:jc w:val="both"/>
      </w:pPr>
      <w:r>
        <w:rPr>
          <w:sz w:val="24"/>
        </w:rPr>
        <w:t xml:space="preserve">Предусмотренные схемой выдачи мощности или схемой внешнего электроснабжения технические решения должны соответствовать требованиям методических указаний по проектированию развития энергосистем, утверждаемых Минэнерго России в соответствии с </w:t>
      </w:r>
      <w:hyperlink w:history="0" r:id="rId6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подпунктом "в" пункта 2</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Методические указания по проектированию развития энергосистем), к схемам выдачи мощности объектов по производству электрической энергии и схемам внешнего электроснабжения энергопринимающих устройств.</w:t>
      </w:r>
    </w:p>
    <w:p>
      <w:pPr>
        <w:pStyle w:val="0"/>
        <w:jc w:val="both"/>
      </w:pPr>
      <w:r>
        <w:rPr>
          <w:sz w:val="24"/>
        </w:rPr>
        <w:t xml:space="preserve">(в ред. </w:t>
      </w:r>
      <w:hyperlink w:history="0" r:id="rId67"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Приказа</w:t>
        </w:r>
      </w:hyperlink>
      <w:r>
        <w:rPr>
          <w:sz w:val="24"/>
        </w:rPr>
        <w:t xml:space="preserve"> Минэнерго России от 06.12.2022 N 1286)</w:t>
      </w:r>
    </w:p>
    <w:bookmarkStart w:id="190" w:name="P190"/>
    <w:bookmarkEnd w:id="190"/>
    <w:p>
      <w:pPr>
        <w:pStyle w:val="0"/>
        <w:spacing w:before="240" w:lineRule="auto"/>
        <w:ind w:firstLine="540"/>
        <w:jc w:val="both"/>
      </w:pPr>
      <w:r>
        <w:rPr>
          <w:sz w:val="24"/>
        </w:rPr>
        <w:t xml:space="preserve">46. Схема выдачи мощности должна содержать:</w:t>
      </w:r>
    </w:p>
    <w:p>
      <w:pPr>
        <w:pStyle w:val="0"/>
        <w:spacing w:before="240" w:lineRule="auto"/>
        <w:ind w:firstLine="540"/>
        <w:jc w:val="both"/>
      </w:pPr>
      <w:r>
        <w:rPr>
          <w:sz w:val="24"/>
        </w:rPr>
        <w:t xml:space="preserve">анализ существующего баланса мощности и электрической энергии энергорайона, территориальной энергосистемы и (или) объединенной энергосистемы, на территории которого(ой) планируется строительство (реконструкция, увеличение максимальной мощности) объекта по производству электрической энергии (далее - энергорайон размещения объекта по производству электрической энергии);</w:t>
      </w:r>
    </w:p>
    <w:p>
      <w:pPr>
        <w:pStyle w:val="0"/>
        <w:spacing w:before="240" w:lineRule="auto"/>
        <w:ind w:firstLine="540"/>
        <w:jc w:val="both"/>
      </w:pPr>
      <w:r>
        <w:rPr>
          <w:sz w:val="24"/>
        </w:rPr>
        <w:t xml:space="preserve">прогноз уровней потребления электрической энергии и мощности энергорайона размещения объекта по производству электрической энергии;</w:t>
      </w:r>
    </w:p>
    <w:p>
      <w:pPr>
        <w:pStyle w:val="0"/>
        <w:spacing w:before="240" w:lineRule="auto"/>
        <w:ind w:firstLine="540"/>
        <w:jc w:val="both"/>
      </w:pPr>
      <w:r>
        <w:rPr>
          <w:sz w:val="24"/>
        </w:rPr>
        <w:t xml:space="preserve">характеристики балансов мощности энергорайона размещения объекта по производству электрической энергии;</w:t>
      </w:r>
    </w:p>
    <w:p>
      <w:pPr>
        <w:pStyle w:val="0"/>
        <w:spacing w:before="240" w:lineRule="auto"/>
        <w:ind w:firstLine="540"/>
        <w:jc w:val="both"/>
      </w:pPr>
      <w:r>
        <w:rPr>
          <w:sz w:val="24"/>
        </w:rPr>
        <w:t xml:space="preserve">характеристику существующих элементов электрической сети, обеспечивающих выдачу мощности объекта по производству электрической энергии до его реконструкции (увеличения его максимальной мощности) - в случае разработки схемы выдачи мощности для действующего объекта по производству электрической энергии, в отношении которого планируется увеличение его максимальной мощности;</w:t>
      </w:r>
    </w:p>
    <w:p>
      <w:pPr>
        <w:pStyle w:val="0"/>
        <w:spacing w:before="240" w:lineRule="auto"/>
        <w:ind w:firstLine="540"/>
        <w:jc w:val="both"/>
      </w:pPr>
      <w:r>
        <w:rPr>
          <w:sz w:val="24"/>
        </w:rPr>
        <w:t xml:space="preserve">анализ режимов работы электрической сети соответствующего класса напряжения в энергорайоне размещения объекта по производству электрической энергии;</w:t>
      </w:r>
    </w:p>
    <w:p>
      <w:pPr>
        <w:pStyle w:val="0"/>
        <w:spacing w:before="240" w:lineRule="auto"/>
        <w:ind w:firstLine="540"/>
        <w:jc w:val="both"/>
      </w:pPr>
      <w:r>
        <w:rPr>
          <w:sz w:val="24"/>
        </w:rPr>
        <w:t xml:space="preserve">варианты технических решений по выдаче мощности объекта по производству электрической энергии (не менее двух);</w:t>
      </w:r>
    </w:p>
    <w:p>
      <w:pPr>
        <w:pStyle w:val="0"/>
        <w:spacing w:before="240" w:lineRule="auto"/>
        <w:ind w:firstLine="540"/>
        <w:jc w:val="both"/>
      </w:pPr>
      <w:r>
        <w:rPr>
          <w:sz w:val="24"/>
        </w:rPr>
        <w:t xml:space="preserve">результаты расчетов электроэнергетических режимов для разработанных вариантов технических решений по выдаче мощности объекта по производству электрической энергии;</w:t>
      </w:r>
    </w:p>
    <w:p>
      <w:pPr>
        <w:pStyle w:val="0"/>
        <w:spacing w:before="240" w:lineRule="auto"/>
        <w:ind w:firstLine="540"/>
        <w:jc w:val="both"/>
      </w:pPr>
      <w:r>
        <w:rPr>
          <w:sz w:val="24"/>
        </w:rPr>
        <w:t xml:space="preserve">технико-экономическое сравнение вариантов технических решений по выдаче мощности объекта по производству электрической энергии с определением рекомендуемого варианта;</w:t>
      </w:r>
    </w:p>
    <w:p>
      <w:pPr>
        <w:pStyle w:val="0"/>
        <w:spacing w:before="240" w:lineRule="auto"/>
        <w:ind w:firstLine="540"/>
        <w:jc w:val="both"/>
      </w:pPr>
      <w:r>
        <w:rPr>
          <w:sz w:val="24"/>
        </w:rPr>
        <w:t xml:space="preserve">результаты расчетов статической и динамической устойчивости, расчетов токов короткого замыкания для рекомендуемого варианта технических решений по выдаче мощности объекта по производству электрической энергии;</w:t>
      </w:r>
    </w:p>
    <w:p>
      <w:pPr>
        <w:pStyle w:val="0"/>
        <w:spacing w:before="240" w:lineRule="auto"/>
        <w:ind w:firstLine="540"/>
        <w:jc w:val="both"/>
      </w:pPr>
      <w:r>
        <w:rPr>
          <w:sz w:val="24"/>
        </w:rPr>
        <w:t xml:space="preserve">анализ уровней напряжения в точке присоединения объекта по производству электрической энергии и в прилегающей электрической сети, основные технические решения по установке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w:t>
      </w:r>
    </w:p>
    <w:p>
      <w:pPr>
        <w:pStyle w:val="0"/>
        <w:spacing w:before="240" w:lineRule="auto"/>
        <w:ind w:firstLine="540"/>
        <w:jc w:val="both"/>
      </w:pPr>
      <w:r>
        <w:rPr>
          <w:sz w:val="24"/>
        </w:rPr>
        <w:t xml:space="preserve">анализ влияния работы инверторного преобразователя на показатели качества электрической энергии (несимметрию, несинусоидальность) в точке присоединения объекта по производству электрической энергии и в прилегающей электрической сети - для объектов по производству электрической энергии, выдача мощности которых осуществляется с использованием инверторного оборудования;</w:t>
      </w:r>
    </w:p>
    <w:p>
      <w:pPr>
        <w:pStyle w:val="0"/>
        <w:spacing w:before="240" w:lineRule="auto"/>
        <w:ind w:firstLine="540"/>
        <w:jc w:val="both"/>
      </w:pPr>
      <w:r>
        <w:rPr>
          <w:sz w:val="24"/>
        </w:rPr>
        <w:t xml:space="preserve">анализ существующих комплексов и устройств РЗА и каналов связи для функционирования РЗА в энергорайоне размещения объекта по производству электрической энергии, а также на объекте по производству электрической энергии (в случае разработки схемы выдачи мощности для действующего объекта по производству электрической энергии, в отношении которого планируется увеличение его максимальной мощности);</w:t>
      </w:r>
    </w:p>
    <w:p>
      <w:pPr>
        <w:pStyle w:val="0"/>
        <w:jc w:val="both"/>
      </w:pPr>
      <w:r>
        <w:rPr>
          <w:sz w:val="24"/>
        </w:rPr>
        <w:t xml:space="preserve">(в ред. </w:t>
      </w:r>
      <w:hyperlink w:history="0" r:id="rId68"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основные технические решения по оснащению электрической сети и объекта по производству электрической энергии комплексами и устройствами РЗА и каналами связи для функционирования РЗА, включая функциональные схемы таких комплексов и устройств и схемы организации каналов связи для функционирования РЗА, учитывающие схемы их размещения, для рекомендуемого варианта технических решений по выдаче мощности объекта по производству электрической энергии;</w:t>
      </w:r>
    </w:p>
    <w:p>
      <w:pPr>
        <w:pStyle w:val="0"/>
        <w:jc w:val="both"/>
      </w:pPr>
      <w:r>
        <w:rPr>
          <w:sz w:val="24"/>
        </w:rPr>
        <w:t xml:space="preserve">(в ред. </w:t>
      </w:r>
      <w:hyperlink w:history="0" r:id="rId69"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принципиальную схему электрических соединений объекта по производству электрической энергии (главную схему);</w:t>
      </w:r>
    </w:p>
    <w:p>
      <w:pPr>
        <w:pStyle w:val="0"/>
        <w:spacing w:before="240" w:lineRule="auto"/>
        <w:ind w:firstLine="540"/>
        <w:jc w:val="both"/>
      </w:pPr>
      <w:r>
        <w:rPr>
          <w:sz w:val="24"/>
        </w:rPr>
        <w:t xml:space="preserve">карту-схему электрической сети для рекомендуемого варианта технических решений по выдаче мощности объекта по производству электрической энергии;</w:t>
      </w:r>
    </w:p>
    <w:p>
      <w:pPr>
        <w:pStyle w:val="0"/>
        <w:spacing w:before="240" w:lineRule="auto"/>
        <w:ind w:firstLine="540"/>
        <w:jc w:val="both"/>
      </w:pPr>
      <w:r>
        <w:rPr>
          <w:sz w:val="24"/>
        </w:rPr>
        <w:t xml:space="preserve">предварительные варианты размещения объектов электросетевого хозяйства, в том числе прохождения трасс ЛЭП, и оценку возможности их реализации для рекомендуемого варианта технических решений по выдаче мощности объекта по производству электрической энергии;</w:t>
      </w:r>
    </w:p>
    <w:p>
      <w:pPr>
        <w:pStyle w:val="0"/>
        <w:spacing w:before="240" w:lineRule="auto"/>
        <w:ind w:firstLine="540"/>
        <w:jc w:val="both"/>
      </w:pPr>
      <w:r>
        <w:rPr>
          <w:sz w:val="24"/>
        </w:rPr>
        <w:t xml:space="preserve">предварительную оценку капитальных затрат на реализацию рекомендуемого варианта технических решений по выдаче мощности объекта по производству электрической энергии (в том числе в табличной форме), включая укрупненную оценку затрат на реализацию основных технических решений по оснащению электрической сети и объекта по производству электрической энергии комплексами и устройствами РЗА (с разделением затрат на реализацию технических мероприятий по объектам электроэнергетики, необходимость реализации технических мероприятий на которых предусмотрена рекомендуемым вариантом). При этом указанное распределение затрат на реализацию технических мероприятий по объектам электроэнергетики, предусмотренным рекомендуемым вариантом схемы выдачи мощности, является предварительным. Окончательное распределение обязанностей по реализации мероприятий по технологическому присоединению осуществляется в соответствии с Правилами технологического присоединения;</w:t>
      </w:r>
    </w:p>
    <w:p>
      <w:pPr>
        <w:pStyle w:val="0"/>
        <w:jc w:val="both"/>
      </w:pPr>
      <w:r>
        <w:rPr>
          <w:sz w:val="24"/>
        </w:rPr>
        <w:t xml:space="preserve">(в ред. </w:t>
      </w:r>
      <w:hyperlink w:history="0" r:id="rId70"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технические параметры и характеристики ЛЭП и оборудования объектов по производству электрической энергии и объектов электросетевого хозяйства, предусмотренных рекомендуемым вариантом технических решений по выдаче мощности объекта по производству электрической энергии, в объеме, предусмотренном </w:t>
      </w:r>
      <w:hyperlink w:history="0" r:id="rId71"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Правилами</w:t>
        </w:r>
      </w:hyperlink>
      <w:r>
        <w:rPr>
          <w:sz w:val="24"/>
        </w:rPr>
        <w:t xml:space="preserve"> предоставления информации, необходимой для осуществления оперативно-диспетчерского управления в электроэнергетике, утвержденными Минэнерго России в соответствии с </w:t>
      </w:r>
      <w:hyperlink w:history="0" r:id="rId72"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подпунктом "б" пункта 2</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Правила предоставления информации, необходимой для осуществления оперативно-диспетчерского управления).</w:t>
      </w:r>
    </w:p>
    <w:p>
      <w:pPr>
        <w:pStyle w:val="0"/>
        <w:jc w:val="both"/>
      </w:pPr>
      <w:r>
        <w:rPr>
          <w:sz w:val="24"/>
        </w:rPr>
        <w:t xml:space="preserve">(абзац введен </w:t>
      </w:r>
      <w:hyperlink w:history="0" r:id="rId73"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Приказом</w:t>
        </w:r>
      </w:hyperlink>
      <w:r>
        <w:rPr>
          <w:sz w:val="24"/>
        </w:rPr>
        <w:t xml:space="preserve"> Минэнерго России от 17.02.2023 N 82)</w:t>
      </w:r>
    </w:p>
    <w:bookmarkStart w:id="213" w:name="P213"/>
    <w:bookmarkEnd w:id="213"/>
    <w:p>
      <w:pPr>
        <w:pStyle w:val="0"/>
        <w:spacing w:before="240" w:lineRule="auto"/>
        <w:ind w:firstLine="540"/>
        <w:jc w:val="both"/>
      </w:pPr>
      <w:r>
        <w:rPr>
          <w:sz w:val="24"/>
        </w:rPr>
        <w:t xml:space="preserve">47. Схема внешнего электроснабжения должна содержать:</w:t>
      </w:r>
    </w:p>
    <w:p>
      <w:pPr>
        <w:pStyle w:val="0"/>
        <w:spacing w:before="240" w:lineRule="auto"/>
        <w:ind w:firstLine="540"/>
        <w:jc w:val="both"/>
      </w:pPr>
      <w:r>
        <w:rPr>
          <w:sz w:val="24"/>
        </w:rPr>
        <w:t xml:space="preserve">анализ существующего баланса мощности и электрической энергии энергорайона, территориальной энергосистемы и (или) объединенной энергосистемы, на территории которого(ой) планируется технологическое присоединение энергопринимающих устройств заявителя (далее - энергорайон размещения энергопринимающих устройств заявителя);</w:t>
      </w:r>
    </w:p>
    <w:p>
      <w:pPr>
        <w:pStyle w:val="0"/>
        <w:spacing w:before="240" w:lineRule="auto"/>
        <w:ind w:firstLine="540"/>
        <w:jc w:val="both"/>
      </w:pPr>
      <w:r>
        <w:rPr>
          <w:sz w:val="24"/>
        </w:rPr>
        <w:t xml:space="preserve">прогноз уровней потребления электрической энергии и мощности энергорайона размещения энергопринимающих устройств заявителя;</w:t>
      </w:r>
    </w:p>
    <w:p>
      <w:pPr>
        <w:pStyle w:val="0"/>
        <w:spacing w:before="240" w:lineRule="auto"/>
        <w:ind w:firstLine="540"/>
        <w:jc w:val="both"/>
      </w:pPr>
      <w:r>
        <w:rPr>
          <w:sz w:val="24"/>
        </w:rPr>
        <w:t xml:space="preserve">характеристики балансов мощности энергорайона размещения энергопринимающих устройств заявителя;</w:t>
      </w:r>
    </w:p>
    <w:p>
      <w:pPr>
        <w:pStyle w:val="0"/>
        <w:spacing w:before="240" w:lineRule="auto"/>
        <w:ind w:firstLine="540"/>
        <w:jc w:val="both"/>
      </w:pPr>
      <w:r>
        <w:rPr>
          <w:sz w:val="24"/>
        </w:rPr>
        <w:t xml:space="preserve">характеристику существующих элементов электрической сети, обеспечивающих внешнее электроснабжение энергопринимающих устройств заявителя - в случае разработки схемы внешнего электроснабжения для ранее присоединенных энергопринимающих устройств, в отношении которых планируется увеличение их максимальной мощности, изменение категории надежности электроснабжения, точек присоединения или видов производственной деятельности (далее - ранее присоединенные энергопринимающие устройства);</w:t>
      </w:r>
    </w:p>
    <w:p>
      <w:pPr>
        <w:pStyle w:val="0"/>
        <w:spacing w:before="240" w:lineRule="auto"/>
        <w:ind w:firstLine="540"/>
        <w:jc w:val="both"/>
      </w:pPr>
      <w:r>
        <w:rPr>
          <w:sz w:val="24"/>
        </w:rPr>
        <w:t xml:space="preserve">анализ режимов работы электрической сети соответствующего класса напряжения в энергорайоне размещения энергопринимающих устройств заявителя;</w:t>
      </w:r>
    </w:p>
    <w:p>
      <w:pPr>
        <w:pStyle w:val="0"/>
        <w:spacing w:before="240" w:lineRule="auto"/>
        <w:ind w:firstLine="540"/>
        <w:jc w:val="both"/>
      </w:pPr>
      <w:r>
        <w:rPr>
          <w:sz w:val="24"/>
        </w:rPr>
        <w:t xml:space="preserve">варианты технических решений по внешнему электроснабжению энергопринимающих устройств (не менее двух);</w:t>
      </w:r>
    </w:p>
    <w:p>
      <w:pPr>
        <w:pStyle w:val="0"/>
        <w:spacing w:before="240" w:lineRule="auto"/>
        <w:ind w:firstLine="540"/>
        <w:jc w:val="both"/>
      </w:pPr>
      <w:r>
        <w:rPr>
          <w:sz w:val="24"/>
        </w:rPr>
        <w:t xml:space="preserve">результаты расчетов электроэнергетических режимов для разработанных вариантов технических решений по внешнему электроснабжению энергопринимающих устройств;</w:t>
      </w:r>
    </w:p>
    <w:p>
      <w:pPr>
        <w:pStyle w:val="0"/>
        <w:spacing w:before="240" w:lineRule="auto"/>
        <w:ind w:firstLine="540"/>
        <w:jc w:val="both"/>
      </w:pPr>
      <w:r>
        <w:rPr>
          <w:sz w:val="24"/>
        </w:rPr>
        <w:t xml:space="preserve">технико-экономическое сравнение вариантов технических решений по внешнему электроснабжению энергопринимающих устройств с определением рекомендуемого варианта;</w:t>
      </w:r>
    </w:p>
    <w:p>
      <w:pPr>
        <w:pStyle w:val="0"/>
        <w:spacing w:before="240" w:lineRule="auto"/>
        <w:ind w:firstLine="540"/>
        <w:jc w:val="both"/>
      </w:pPr>
      <w:r>
        <w:rPr>
          <w:sz w:val="24"/>
        </w:rPr>
        <w:t xml:space="preserve">результаты расчетов статической устойчивости для рекомендуемого варианта технических решений по внешнему электроснабжению энергопринимающих устройств;</w:t>
      </w:r>
    </w:p>
    <w:p>
      <w:pPr>
        <w:pStyle w:val="0"/>
        <w:spacing w:before="240" w:lineRule="auto"/>
        <w:ind w:firstLine="540"/>
        <w:jc w:val="both"/>
      </w:pPr>
      <w:r>
        <w:rPr>
          <w:sz w:val="24"/>
        </w:rPr>
        <w:t xml:space="preserve">результаты расчетов токов короткого замыкания для рекомендуемого варианта технических решений по внешнему электроснабжению энергопринимающих устройств;</w:t>
      </w:r>
    </w:p>
    <w:p>
      <w:pPr>
        <w:pStyle w:val="0"/>
        <w:spacing w:before="240" w:lineRule="auto"/>
        <w:ind w:firstLine="540"/>
        <w:jc w:val="both"/>
      </w:pPr>
      <w:r>
        <w:rPr>
          <w:sz w:val="24"/>
        </w:rPr>
        <w:t xml:space="preserve">анализ уровней напряжения в точке присоединения энергопринимающих устройств заявителя и в прилегающей электрической сети, основные технические решения по установке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w:t>
      </w:r>
    </w:p>
    <w:p>
      <w:pPr>
        <w:pStyle w:val="0"/>
        <w:spacing w:before="240" w:lineRule="auto"/>
        <w:ind w:firstLine="540"/>
        <w:jc w:val="both"/>
      </w:pPr>
      <w:r>
        <w:rPr>
          <w:sz w:val="24"/>
        </w:rPr>
        <w:t xml:space="preserve">анализ существующих комплексов и устройств РЗА и каналов связи для функционирования РЗА в энергорайоне размещения энергопринимающих устройств заявителя, а также на объектах электросетевого хозяйства и энергопринимающих устройствах заявителя (в случае разработки схемы внешнего электроснабжения для ранее присоединенных энергопринимающих устройств);</w:t>
      </w:r>
    </w:p>
    <w:p>
      <w:pPr>
        <w:pStyle w:val="0"/>
        <w:jc w:val="both"/>
      </w:pPr>
      <w:r>
        <w:rPr>
          <w:sz w:val="24"/>
        </w:rPr>
        <w:t xml:space="preserve">(в ред. </w:t>
      </w:r>
      <w:hyperlink w:history="0" r:id="rId74"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основные технические решения по оснащению электрической сети, объектов электросетевого хозяйства и энергопринимающих устройств заявителя комплексами и устройствами РЗА и каналами связи для функционирования РЗА, подключению энергопринимающих устройств заявителя под действие устройств (комплексов) ПА, включая функциональные схемы таких комплексов и устройств РЗА и схемы организации каналов связи для функционирования РЗА, учитывающие схемы их размещения, для рекомендуемого варианта технических решений по внешнему электроснабжению энергопринимающих устройств;</w:t>
      </w:r>
    </w:p>
    <w:p>
      <w:pPr>
        <w:pStyle w:val="0"/>
        <w:jc w:val="both"/>
      </w:pPr>
      <w:r>
        <w:rPr>
          <w:sz w:val="24"/>
        </w:rPr>
        <w:t xml:space="preserve">(в ред. </w:t>
      </w:r>
      <w:hyperlink w:history="0" r:id="rId75"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карту-схему электрической сети для рекомендуемого варианта технических решений по внешнему электроснабжению энергопринимающих устройств;</w:t>
      </w:r>
    </w:p>
    <w:p>
      <w:pPr>
        <w:pStyle w:val="0"/>
        <w:spacing w:before="240" w:lineRule="auto"/>
        <w:ind w:firstLine="540"/>
        <w:jc w:val="both"/>
      </w:pPr>
      <w:r>
        <w:rPr>
          <w:sz w:val="24"/>
        </w:rPr>
        <w:t xml:space="preserve">предварительные варианты размещения объектов электросетевого хозяйства, в том числе прохождения трасс ЛЭП, и оценку возможности их реализации для рекомендуемого варианта технических решений по внешнему электроснабжению энергопринимающих устройств;</w:t>
      </w:r>
    </w:p>
    <w:p>
      <w:pPr>
        <w:pStyle w:val="0"/>
        <w:spacing w:before="240" w:lineRule="auto"/>
        <w:ind w:firstLine="540"/>
        <w:jc w:val="both"/>
      </w:pPr>
      <w:r>
        <w:rPr>
          <w:sz w:val="24"/>
        </w:rPr>
        <w:t xml:space="preserve">предварительную оценку капитальных затрат на реализацию рекомендуемого варианта технических решений по внешнему электроснабжению энергопринимающих устройств (в том числе в табличной форме), включая укрупненную оценку затрат на реализацию основных технических решений по оснащению электрической сети, объектов электросетевого хозяйства и энергопринимающих устройств заявителя комплексами и устройствами РЗА (с разделением затрат на реализацию технических мероприятий по объектам электроэнергетики, необходимость реализации технических мероприятий на которых предусмотрена рекомендуемым вариантом). При этом указанное распределение затрат на реализацию технических мероприятий по объектам электроэнергетики, предусмотренным рекомендуемым вариантом схемы внешнего электроснабжения, является предварительным. Окончательное распределение обязанностей по реализации мероприятий по технологическому присоединению осуществляется в соответствии с </w:t>
      </w:r>
      <w:hyperlink w:history="0" r:id="rId76"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w:t>
      </w:r>
    </w:p>
    <w:p>
      <w:pPr>
        <w:pStyle w:val="0"/>
        <w:jc w:val="both"/>
      </w:pPr>
      <w:r>
        <w:rPr>
          <w:sz w:val="24"/>
        </w:rPr>
        <w:t xml:space="preserve">(в ред. </w:t>
      </w:r>
      <w:hyperlink w:history="0" r:id="rId77"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технические параметры и характеристики ЛЭП и оборудования объектов по производству электрической энергии и объектов электросетевого хозяйства, предусмотренных рекомендуемым вариантом технических решений по внешнему электроснабжению энергопринимающих устройств, в объеме, предусмотренном </w:t>
      </w:r>
      <w:hyperlink w:history="0" r:id="rId78"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Правилами</w:t>
        </w:r>
      </w:hyperlink>
      <w:r>
        <w:rPr>
          <w:sz w:val="24"/>
        </w:rPr>
        <w:t xml:space="preserve"> предоставления информации, необходимой для осуществления оперативно-диспетчерского управления.</w:t>
      </w:r>
    </w:p>
    <w:p>
      <w:pPr>
        <w:pStyle w:val="0"/>
        <w:jc w:val="both"/>
      </w:pPr>
      <w:r>
        <w:rPr>
          <w:sz w:val="24"/>
        </w:rPr>
        <w:t xml:space="preserve">(абзац введен </w:t>
      </w:r>
      <w:hyperlink w:history="0" r:id="rId79"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Приказом</w:t>
        </w:r>
      </w:hyperlink>
      <w:r>
        <w:rPr>
          <w:sz w:val="24"/>
        </w:rPr>
        <w:t xml:space="preserve"> Минэнерго России от 17.02.2023 N 82)</w:t>
      </w:r>
    </w:p>
    <w:p>
      <w:pPr>
        <w:pStyle w:val="0"/>
        <w:spacing w:before="240" w:lineRule="auto"/>
        <w:ind w:firstLine="540"/>
        <w:jc w:val="both"/>
      </w:pPr>
      <w:r>
        <w:rPr>
          <w:sz w:val="24"/>
        </w:rPr>
        <w:t xml:space="preserve">48. Схема выдачи мощности (схема внешнего электроснабжения) должна быть согласована в соответствии с </w:t>
      </w:r>
      <w:hyperlink w:history="0" r:id="rId80"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пунктом 10(4)</w:t>
        </w:r>
      </w:hyperlink>
      <w:r>
        <w:rPr>
          <w:sz w:val="24"/>
        </w:rPr>
        <w:t xml:space="preserve"> Правил технологического присоединения с системным оператором (в технологически изолированных территориальных электроэнергетических системах в электроэнергетике в период до 31 декабря 2023 г. включительно - с субъектом оперативно-диспетчерского управления в технологически изолированной территориальной электроэнергетической системы) и сетевой организацией, к электрическим сетям которой планируется осуществить технологическое присоединение энергопринимающих устройств и (или) объектов по производству электрической энергии заявителя, а также с собственниками или иными законными владельцами объектов электроэнергетики и потребителями электрической энергии, на объектах электроэнергетики которых в соответствии с разработанным проектом схемы выдачи мощности (схемы внешнего электроснабжения) предполагается выполнение технических мероприятий по технологическому присоединению объекта заявителя к электрическим сетям (далее - владельцы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w:t>
      </w:r>
    </w:p>
    <w:p>
      <w:pPr>
        <w:pStyle w:val="0"/>
        <w:spacing w:before="240" w:lineRule="auto"/>
        <w:ind w:firstLine="540"/>
        <w:jc w:val="both"/>
      </w:pPr>
      <w:r>
        <w:rPr>
          <w:sz w:val="24"/>
        </w:rPr>
        <w:t xml:space="preserve">Проект схемы выдачи мощности (схемы внешнего электроснабжения) направляется на согласование субъекту оперативно-диспетчерского управления после согласования такого проекта с сетевой организацией и владельцами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w:t>
      </w:r>
    </w:p>
    <w:p>
      <w:pPr>
        <w:pStyle w:val="0"/>
        <w:spacing w:before="240" w:lineRule="auto"/>
        <w:ind w:firstLine="540"/>
        <w:jc w:val="both"/>
      </w:pPr>
      <w:r>
        <w:rPr>
          <w:sz w:val="24"/>
        </w:rPr>
        <w:t xml:space="preserve">В случае изменения вариантов и (или) состава мероприятий по технологическому присоединению, предусмотренных проектом схемы выдачи мощности (схемы внешнего электроснабжения), по результатам рассмотрения и согласования его системным оператором, такой проект подлежит повторному согласованию с сетевой организацией и (или) владельцами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в части объектов электроэнергетики которых в проект схемы выдачи мощности (схемы внешнего электроснабжения) внесены изменения.</w:t>
      </w:r>
    </w:p>
    <w:p>
      <w:pPr>
        <w:pStyle w:val="0"/>
        <w:jc w:val="both"/>
      </w:pPr>
      <w:r>
        <w:rPr>
          <w:sz w:val="24"/>
        </w:rPr>
        <w:t xml:space="preserve">(п. 48 в ред. </w:t>
      </w:r>
      <w:hyperlink w:history="0" r:id="rId81"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bookmarkStart w:id="239" w:name="P239"/>
    <w:bookmarkEnd w:id="239"/>
    <w:p>
      <w:pPr>
        <w:pStyle w:val="0"/>
        <w:spacing w:before="240" w:lineRule="auto"/>
        <w:ind w:firstLine="540"/>
        <w:jc w:val="both"/>
      </w:pPr>
      <w:r>
        <w:rPr>
          <w:sz w:val="24"/>
        </w:rPr>
        <w:t xml:space="preserve">49. Проект схемы выдачи мощности (схемы внешнего электроснабжения) должен быть направлен заявителем либо привлеченной им проектной организацией в адрес субъекта оперативно-диспетчерского управления, сетевой организации и владельцев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письмами за подписью уполномоченного должностного лица заявителя либо привлеченной им проектной организации с приложением томов схемы выдачи мощности (схемы внешнего электроснабжения) в электронном виде в формате pdf. Не допускается предоставление проекта схемы выдачи мощности (схемы внешнего электроснабжения) в формате pdf с пофайловым разделением страниц.</w:t>
      </w:r>
    </w:p>
    <w:p>
      <w:pPr>
        <w:pStyle w:val="0"/>
        <w:jc w:val="both"/>
      </w:pPr>
      <w:r>
        <w:rPr>
          <w:sz w:val="24"/>
        </w:rPr>
        <w:t xml:space="preserve">(в ред. </w:t>
      </w:r>
      <w:hyperlink w:history="0" r:id="rId82"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p>
      <w:pPr>
        <w:pStyle w:val="0"/>
        <w:spacing w:before="240" w:lineRule="auto"/>
        <w:ind w:firstLine="540"/>
        <w:jc w:val="both"/>
      </w:pPr>
      <w:r>
        <w:rPr>
          <w:sz w:val="24"/>
        </w:rPr>
        <w:t xml:space="preserve">К схеме выдачи мощности (схеме внешнего электроснабжения), направляемой на согласование в адрес системного оператора, сетевой организации и владельцев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должны быть приложены перспективные расчетные модели электроэнергетической системы, с использованием которых проводились расчеты при разработке такой схемы выдачи мощности (схемы внешнего электроснабжения) и получены результаты расчетов, указанные в </w:t>
      </w:r>
      <w:hyperlink w:history="0" w:anchor="P190" w:tooltip="46. Схема выдачи мощности должна содержать:">
        <w:r>
          <w:rPr>
            <w:sz w:val="24"/>
            <w:color w:val="0000ff"/>
          </w:rPr>
          <w:t xml:space="preserve">пункте 46</w:t>
        </w:r>
      </w:hyperlink>
      <w:r>
        <w:rPr>
          <w:sz w:val="24"/>
        </w:rPr>
        <w:t xml:space="preserve"> или </w:t>
      </w:r>
      <w:hyperlink w:history="0" w:anchor="P213" w:tooltip="47. Схема внешнего электроснабжения должна содержать:">
        <w:r>
          <w:rPr>
            <w:sz w:val="24"/>
            <w:color w:val="0000ff"/>
          </w:rPr>
          <w:t xml:space="preserve">47</w:t>
        </w:r>
      </w:hyperlink>
      <w:r>
        <w:rPr>
          <w:sz w:val="24"/>
        </w:rPr>
        <w:t xml:space="preserve"> Правил.</w:t>
      </w:r>
    </w:p>
    <w:p>
      <w:pPr>
        <w:pStyle w:val="0"/>
        <w:jc w:val="both"/>
      </w:pPr>
      <w:r>
        <w:rPr>
          <w:sz w:val="24"/>
        </w:rPr>
        <w:t xml:space="preserve">(абзац введен </w:t>
      </w:r>
      <w:hyperlink w:history="0" r:id="rId83"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Приказом</w:t>
        </w:r>
      </w:hyperlink>
      <w:r>
        <w:rPr>
          <w:sz w:val="24"/>
        </w:rPr>
        <w:t xml:space="preserve"> Минэнерго России от 17.02.2023 N 82; в ред. </w:t>
      </w:r>
      <w:hyperlink w:history="0" r:id="rId84"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bookmarkStart w:id="243" w:name="P243"/>
    <w:bookmarkEnd w:id="243"/>
    <w:p>
      <w:pPr>
        <w:pStyle w:val="0"/>
        <w:spacing w:before="240" w:lineRule="auto"/>
        <w:ind w:firstLine="540"/>
        <w:jc w:val="both"/>
      </w:pPr>
      <w:r>
        <w:rPr>
          <w:sz w:val="24"/>
        </w:rPr>
        <w:t xml:space="preserve">50. Субъект оперативно-диспетчерского управления, сетевая организация должны рассмотреть в течение 15 рабочих дней с даты получения проекта схемы выдачи мощности (схемы внешнего электроснабжения) и при отсутствии замечаний согласовать его либо в тот же срок направить заявителю мотивированные замечания к схеме выдачи мощности (схемы внешнего электроснабжения).</w:t>
      </w:r>
    </w:p>
    <w:p>
      <w:pPr>
        <w:pStyle w:val="0"/>
        <w:spacing w:before="240" w:lineRule="auto"/>
        <w:ind w:firstLine="540"/>
        <w:jc w:val="both"/>
      </w:pPr>
      <w:r>
        <w:rPr>
          <w:sz w:val="24"/>
        </w:rPr>
        <w:t xml:space="preserve">Рассмотрение проекта схемы выдачи мощности (схемы внешнего электроснабжения) субъектом оперативно-диспетчерского управления должно осуществляться в части соответствия схемы выдачи мощности (схемы внешнего электроснабжения) и предусмотренных ею технических решений утвержденному техническому заданию и требованиям, установленным настоящими Правилами и нормативными правовыми актами, указанными в </w:t>
      </w:r>
      <w:hyperlink w:history="0" w:anchor="P83" w:tooltip="9. При разработке схемы выдачи мощности (схемы внешнего электроснабжения) должно быть обеспечено соблюдение требований, установленных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и нормативными правовыми актами Минэнерго России, утвержденными в соответствии с постановлением Правительства Российской Федерации от 13 августа 2018 г. N 937 &quot;Об утверждении Правил технологического функциони...">
        <w:r>
          <w:rPr>
            <w:sz w:val="24"/>
            <w:color w:val="0000ff"/>
          </w:rPr>
          <w:t xml:space="preserve">пункте 9</w:t>
        </w:r>
      </w:hyperlink>
      <w:r>
        <w:rPr>
          <w:sz w:val="24"/>
        </w:rPr>
        <w:t xml:space="preserve"> Правил. Субъект оперативно-диспетчерского управления также отказывает в согласовании схемы выдачи мощности (схемы внешнего электроснабжения) в случае невыполнения заявителем требования, предусмотренного </w:t>
      </w:r>
      <w:hyperlink w:history="0" w:anchor="P131" w:tooltip="24. Разработка схемы выдачи мощности (схемы внешнего электроснабжения) должна осуществляться заявителем либо привлеченной им проектной организацией с использованием перспективных расчетных моделей электроэнергетических систем или их фрагментов, формируемых и предоставляемых системным оператором в соответствии с порядком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
        <w:r>
          <w:rPr>
            <w:sz w:val="24"/>
            <w:color w:val="0000ff"/>
          </w:rPr>
          <w:t xml:space="preserve">абзацем первым пункта 24</w:t>
        </w:r>
      </w:hyperlink>
      <w:r>
        <w:rPr>
          <w:sz w:val="24"/>
        </w:rPr>
        <w:t xml:space="preserve"> Правил.</w:t>
      </w:r>
    </w:p>
    <w:p>
      <w:pPr>
        <w:pStyle w:val="0"/>
        <w:jc w:val="both"/>
      </w:pPr>
      <w:r>
        <w:rPr>
          <w:sz w:val="24"/>
        </w:rPr>
        <w:t xml:space="preserve">(в ред. </w:t>
      </w:r>
      <w:hyperlink w:history="0" r:id="rId85"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Рассмотрение проекта схемы выдачи мощности (схемы внешнего электроснабжения) сетевой организацией должно осуществляться в части технических решений по строительству (реконструкции, модернизации) электрической сети, оснащению объектов электросетевого хозяйства комплексами и устройствами РЗА, планируемых к реализации на объектах электросетевого хозяйства такой сетевой организации (в том числе в части соответствия таких технических решений техническому заданию и требованиям, установленным настоящими Правилами и нормативными правовыми актами, указанными в </w:t>
      </w:r>
      <w:hyperlink w:history="0" w:anchor="P83" w:tooltip="9. При разработке схемы выдачи мощности (схемы внешнего электроснабжения) должно быть обеспечено соблюдение требований, установленных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и нормативными правовыми актами Минэнерго России, утвержденными в соответствии с постановлением Правительства Российской Федерации от 13 августа 2018 г. N 937 &quot;Об утверждении Правил технологического функциони...">
        <w:r>
          <w:rPr>
            <w:sz w:val="24"/>
            <w:color w:val="0000ff"/>
          </w:rPr>
          <w:t xml:space="preserve">пункте 9</w:t>
        </w:r>
      </w:hyperlink>
      <w:r>
        <w:rPr>
          <w:sz w:val="24"/>
        </w:rPr>
        <w:t xml:space="preserve"> Правил), а также предварительных вариантов размещения объектов электросетевого хозяйства, в том числе прохождения трасс ЛЭП, и предварительной оценки капитальных затрат на выполнение технических решений, планируемых к реализации на объектах электросетевого хозяйства такой сетевой организации.</w:t>
      </w:r>
    </w:p>
    <w:p>
      <w:pPr>
        <w:pStyle w:val="0"/>
        <w:jc w:val="both"/>
      </w:pPr>
      <w:r>
        <w:rPr>
          <w:sz w:val="24"/>
        </w:rPr>
        <w:t xml:space="preserve">(в ред. </w:t>
      </w:r>
      <w:hyperlink w:history="0" r:id="rId86"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bookmarkStart w:id="248" w:name="P248"/>
    <w:bookmarkEnd w:id="248"/>
    <w:p>
      <w:pPr>
        <w:pStyle w:val="0"/>
        <w:spacing w:before="240" w:lineRule="auto"/>
        <w:ind w:firstLine="540"/>
        <w:jc w:val="both"/>
      </w:pPr>
      <w:r>
        <w:rPr>
          <w:sz w:val="24"/>
        </w:rPr>
        <w:t xml:space="preserve">51. При получении от субъекта оперативно-диспетчерского управления и (или) сетевой организации замечаний к проекту схемы выдачи мощности (схемы внешнего электроснабжения) заявитель с привлечением при необходимости проектной организации должен в течение 40 рабочих дней доработать указанный проект и повторно направить его в адрес субъекта оперативно-диспетчерского управления и сетевой организации с соблюдением требований, указанных в </w:t>
      </w:r>
      <w:hyperlink w:history="0" w:anchor="P239" w:tooltip="49. Проект схемы выдачи мощности (схемы внешнего электроснабжения) должен быть направлен заявителем либо привлеченной им проектной организацией в адрес субъекта оперативно-диспетчерского управления, сетевой организации и владельцев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письмами за подписью уполномоченного должностного лица заявителя либо привлеченной им проектной организации с приложением том...">
        <w:r>
          <w:rPr>
            <w:sz w:val="24"/>
            <w:color w:val="0000ff"/>
          </w:rPr>
          <w:t xml:space="preserve">пункте 49</w:t>
        </w:r>
      </w:hyperlink>
      <w:r>
        <w:rPr>
          <w:sz w:val="24"/>
        </w:rPr>
        <w:t xml:space="preserve"> Правил, и приложением обоснованных ответов на полученные замечания.</w:t>
      </w:r>
    </w:p>
    <w:bookmarkStart w:id="249" w:name="P249"/>
    <w:bookmarkEnd w:id="249"/>
    <w:p>
      <w:pPr>
        <w:pStyle w:val="0"/>
        <w:spacing w:before="240" w:lineRule="auto"/>
        <w:ind w:firstLine="540"/>
        <w:jc w:val="both"/>
      </w:pPr>
      <w:r>
        <w:rPr>
          <w:sz w:val="24"/>
        </w:rPr>
        <w:t xml:space="preserve">52. Субъект оперативно-диспетчерского управления в электроэнергетике, сетевая организация должны в течение 10 рабочих дней с даты получения рассмотреть доработанный проект схемы выдачи мощности (схемы внешнего электроснабжения) в части вопросов, указанных в </w:t>
      </w:r>
      <w:hyperlink w:history="0" w:anchor="P243" w:tooltip="50. Субъект оперативно-диспетчерского управления, сетевая организация должны рассмотреть в течение 15 рабочих дней с даты получения проекта схемы выдачи мощности (схемы внешнего электроснабжения) и при отсутствии замечаний согласовать его либо в тот же срок направить заявителю мотивированные замечания к схеме выдачи мощности (схемы внешнего электроснабжения).">
        <w:r>
          <w:rPr>
            <w:sz w:val="24"/>
            <w:color w:val="0000ff"/>
          </w:rPr>
          <w:t xml:space="preserve">пункте 50</w:t>
        </w:r>
      </w:hyperlink>
      <w:r>
        <w:rPr>
          <w:sz w:val="24"/>
        </w:rPr>
        <w:t xml:space="preserve"> Правил, и на предмет устранения ранее выданных замечаний и при отсутствии замечаний согласовать его либо в тот же срок направить заявителю мотивированные замечания к доработанному проекту.</w:t>
      </w:r>
    </w:p>
    <w:bookmarkStart w:id="250" w:name="P250"/>
    <w:bookmarkEnd w:id="250"/>
    <w:p>
      <w:pPr>
        <w:pStyle w:val="0"/>
        <w:spacing w:before="240" w:lineRule="auto"/>
        <w:ind w:firstLine="540"/>
        <w:jc w:val="both"/>
      </w:pPr>
      <w:r>
        <w:rPr>
          <w:sz w:val="24"/>
        </w:rPr>
        <w:t xml:space="preserve">При рассмотрении доработанного проекта схемы выдачи мощности (схемы внешнего электроснабжения) субъект оперативно-диспетчерского управления и сетевая организация осуществляют проверку устранения замечаний, выданных ранее в соответствии с </w:t>
      </w:r>
      <w:hyperlink w:history="0" w:anchor="P243" w:tooltip="50. Субъект оперативно-диспетчерского управления, сетевая организация должны рассмотреть в течение 15 рабочих дней с даты получения проекта схемы выдачи мощности (схемы внешнего электроснабжения) и при отсутствии замечаний согласовать его либо в тот же срок направить заявителю мотивированные замечания к схеме выдачи мощности (схемы внешнего электроснабжения).">
        <w:r>
          <w:rPr>
            <w:sz w:val="24"/>
            <w:color w:val="0000ff"/>
          </w:rPr>
          <w:t xml:space="preserve">пунктом 50</w:t>
        </w:r>
      </w:hyperlink>
      <w:r>
        <w:rPr>
          <w:sz w:val="24"/>
        </w:rPr>
        <w:t xml:space="preserve"> Правил, и вправе выдать замечания к доработанному проекту схемы выдачи мощности (схемы внешнего электроснабжения) только в связи с неполным (некорректным) устранением предыдущих замечаний либо в случае внесения заявителем или привлеченной им проектной организацией изменений (дополнений) в проект схемы выдачи мощности (схемы внешнего электроснабжения), не связанных с устранением ранее выданных замечаний.</w:t>
      </w:r>
    </w:p>
    <w:p>
      <w:pPr>
        <w:pStyle w:val="0"/>
        <w:spacing w:before="240" w:lineRule="auto"/>
        <w:ind w:firstLine="540"/>
        <w:jc w:val="both"/>
      </w:pPr>
      <w:r>
        <w:rPr>
          <w:sz w:val="24"/>
        </w:rPr>
        <w:t xml:space="preserve">При наличии замечаний к доработанному проекту схемы выдачи мощности (схемы внешнего электроснабжения) их устранение и последующее рассмотрение и согласование проекта схемы выдачи мощности (схемы внешнего электроснабжения) с субъектом оперативно-диспетчерского управления и сетевой организацией осуществляются в соответствии с </w:t>
      </w:r>
      <w:hyperlink w:history="0" w:anchor="P248" w:tooltip="51. При получении от субъекта оперативно-диспетчерского управления и (или) сетевой организации замечаний к проекту схемы выдачи мощности (схемы внешнего электроснабжения) заявитель с привлечением при необходимости проектной организации должен в течение 40 рабочих дней доработать указанный проект и повторно направить его в адрес субъекта оперативно-диспетчерского управления и сетевой организации с соблюдением требований, указанных в пункте 49 Правил, и приложением обоснованных ответов на полученные замеча...">
        <w:r>
          <w:rPr>
            <w:sz w:val="24"/>
            <w:color w:val="0000ff"/>
          </w:rPr>
          <w:t xml:space="preserve">пунктом 51</w:t>
        </w:r>
      </w:hyperlink>
      <w:r>
        <w:rPr>
          <w:sz w:val="24"/>
        </w:rPr>
        <w:t xml:space="preserve"> и </w:t>
      </w:r>
      <w:hyperlink w:history="0" w:anchor="P249" w:tooltip="52. Субъект оперативно-диспетчерского управления в электроэнергетике, сетевая организация должны в течение 10 рабочих дней с даты получения рассмотреть доработанный проект схемы выдачи мощности (схемы внешнего электроснабжения) в части вопросов, указанных в пункте 50 Правил, и на предмет устранения ранее выданных замечаний и при отсутствии замечаний согласовать его либо в тот же срок направить заявителю мотивированные замечания к доработанному проекту.">
        <w:r>
          <w:rPr>
            <w:sz w:val="24"/>
            <w:color w:val="0000ff"/>
          </w:rPr>
          <w:t xml:space="preserve">абзацами первым</w:t>
        </w:r>
      </w:hyperlink>
      <w:r>
        <w:rPr>
          <w:sz w:val="24"/>
        </w:rPr>
        <w:t xml:space="preserve"> и </w:t>
      </w:r>
      <w:hyperlink w:history="0" w:anchor="P250" w:tooltip="При рассмотрении доработанного проекта схемы выдачи мощности (схемы внешнего электроснабжения) субъект оперативно-диспетчерского управления и сетевая организация осуществляют проверку устранения замечаний, выданных ранее в соответствии с пунктом 50 Правил, и вправе выдать замечания к доработанному проекту схемы выдачи мощности (схемы внешнего электроснабжения) только в связи с неполным (некорректным) устранением предыдущих замечаний либо в случае внесения заявителем или привлеченной им проектной организа...">
        <w:r>
          <w:rPr>
            <w:sz w:val="24"/>
            <w:color w:val="0000ff"/>
          </w:rPr>
          <w:t xml:space="preserve">вторым</w:t>
        </w:r>
      </w:hyperlink>
      <w:r>
        <w:rPr>
          <w:sz w:val="24"/>
        </w:rPr>
        <w:t xml:space="preserve"> настоящего пункта Правил.</w:t>
      </w:r>
    </w:p>
    <w:bookmarkStart w:id="252" w:name="P252"/>
    <w:bookmarkEnd w:id="252"/>
    <w:p>
      <w:pPr>
        <w:pStyle w:val="0"/>
        <w:spacing w:before="240" w:lineRule="auto"/>
        <w:ind w:firstLine="540"/>
        <w:jc w:val="both"/>
      </w:pPr>
      <w:r>
        <w:rPr>
          <w:sz w:val="24"/>
        </w:rPr>
        <w:t xml:space="preserve">53. Согласование проекта схемы выдачи мощности (схемы внешнего электроснабжения) или направление замечаний к нему в соответствии с </w:t>
      </w:r>
      <w:hyperlink w:history="0" w:anchor="P243" w:tooltip="50. Субъект оперативно-диспетчерского управления, сетевая организация должны рассмотреть в течение 15 рабочих дней с даты получения проекта схемы выдачи мощности (схемы внешнего электроснабжения) и при отсутствии замечаний согласовать его либо в тот же срок направить заявителю мотивированные замечания к схеме выдачи мощности (схемы внешнего электроснабжения).">
        <w:r>
          <w:rPr>
            <w:sz w:val="24"/>
            <w:color w:val="0000ff"/>
          </w:rPr>
          <w:t xml:space="preserve">пунктами 50</w:t>
        </w:r>
      </w:hyperlink>
      <w:r>
        <w:rPr>
          <w:sz w:val="24"/>
        </w:rPr>
        <w:t xml:space="preserve">, </w:t>
      </w:r>
      <w:hyperlink w:history="0" w:anchor="P249" w:tooltip="52. Субъект оперативно-диспетчерского управления в электроэнергетике, сетевая организация должны в течение 10 рабочих дней с даты получения рассмотреть доработанный проект схемы выдачи мощности (схемы внешнего электроснабжения) в части вопросов, указанных в пункте 50 Правил, и на предмет устранения ранее выданных замечаний и при отсутствии замечаний согласовать его либо в тот же срок направить заявителю мотивированные замечания к доработанному проекту.">
        <w:r>
          <w:rPr>
            <w:sz w:val="24"/>
            <w:color w:val="0000ff"/>
          </w:rPr>
          <w:t xml:space="preserve">52</w:t>
        </w:r>
      </w:hyperlink>
      <w:r>
        <w:rPr>
          <w:sz w:val="24"/>
        </w:rPr>
        <w:t xml:space="preserve"> Правил должны осуществляться субъектом оперативно-диспетчерского управления и сетевой организацией в письменной форме путем направления в адрес заявителя писем за подписью уполномоченных должностных лиц.</w:t>
      </w:r>
    </w:p>
    <w:p>
      <w:pPr>
        <w:pStyle w:val="0"/>
        <w:spacing w:before="240" w:lineRule="auto"/>
        <w:ind w:firstLine="540"/>
        <w:jc w:val="both"/>
      </w:pPr>
      <w:r>
        <w:rPr>
          <w:sz w:val="24"/>
        </w:rPr>
        <w:t xml:space="preserve">53(1). Владельцы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осуществляют рассмотрение и согласование схемы выдачи мощности (схемы внешнего электроснабжения) в порядке и сроки, установленные </w:t>
      </w:r>
      <w:hyperlink w:history="0" w:anchor="P243" w:tooltip="50. Субъект оперативно-диспетчерского управления, сетевая организация должны рассмотреть в течение 15 рабочих дней с даты получения проекта схемы выдачи мощности (схемы внешнего электроснабжения) и при отсутствии замечаний согласовать его либо в тот же срок направить заявителю мотивированные замечания к схеме выдачи мощности (схемы внешнего электроснабжения).">
        <w:r>
          <w:rPr>
            <w:sz w:val="24"/>
            <w:color w:val="0000ff"/>
          </w:rPr>
          <w:t xml:space="preserve">абзацем первым пункта 50</w:t>
        </w:r>
      </w:hyperlink>
      <w:r>
        <w:rPr>
          <w:sz w:val="24"/>
        </w:rPr>
        <w:t xml:space="preserve"> и </w:t>
      </w:r>
      <w:hyperlink w:history="0" w:anchor="P248" w:tooltip="51. При получении от субъекта оперативно-диспетчерского управления и (или) сетевой организации замечаний к проекту схемы выдачи мощности (схемы внешнего электроснабжения) заявитель с привлечением при необходимости проектной организации должен в течение 40 рабочих дней доработать указанный проект и повторно направить его в адрес субъекта оперативно-диспетчерского управления и сетевой организации с соблюдением требований, указанных в пункте 49 Правил, и приложением обоснованных ответов на полученные замеча...">
        <w:r>
          <w:rPr>
            <w:sz w:val="24"/>
            <w:color w:val="0000ff"/>
          </w:rPr>
          <w:t xml:space="preserve">пунктами 51</w:t>
        </w:r>
      </w:hyperlink>
      <w:r>
        <w:rPr>
          <w:sz w:val="24"/>
        </w:rPr>
        <w:t xml:space="preserve"> - </w:t>
      </w:r>
      <w:hyperlink w:history="0" w:anchor="P252" w:tooltip="53. Согласование проекта схемы выдачи мощности (схемы внешнего электроснабжения) или направление замечаний к нему в соответствии с пунктами 50, 52 Правил должны осуществляться субъектом оперативно-диспетчерского управления и сетевой организацией в письменной форме путем направления в адрес заявителя писем за подписью уполномоченных должностных лиц.">
        <w:r>
          <w:rPr>
            <w:sz w:val="24"/>
            <w:color w:val="0000ff"/>
          </w:rPr>
          <w:t xml:space="preserve">53</w:t>
        </w:r>
      </w:hyperlink>
      <w:r>
        <w:rPr>
          <w:sz w:val="24"/>
        </w:rPr>
        <w:t xml:space="preserve"> Правил для сетевой организации, на безвозмездной основе.</w:t>
      </w:r>
    </w:p>
    <w:p>
      <w:pPr>
        <w:pStyle w:val="0"/>
        <w:spacing w:before="240" w:lineRule="auto"/>
        <w:ind w:firstLine="540"/>
        <w:jc w:val="both"/>
      </w:pPr>
      <w:r>
        <w:rPr>
          <w:sz w:val="24"/>
        </w:rPr>
        <w:t xml:space="preserve">Рассмотрение проекта схемы выдачи мощности (схемы внешнего электроснабжения) владельцами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должно осуществляться в части технических решений по строительству (реконструкции, модернизации) принадлежащих им объектов электроэнергетики, оснащению указанных объектов электроэнергетики комплексами и устройствами РЗА, планируемых к реализации на принадлежащих таким владельцам объектах электроэнергетики (в том числе в части соответствия таких технических решений техническому заданию и требованиям, установленным Правилами и нормативными правовыми актами, указанными в </w:t>
      </w:r>
      <w:hyperlink w:history="0" w:anchor="P83" w:tooltip="9. При разработке схемы выдачи мощности (схемы внешнего электроснабжения) должно быть обеспечено соблюдение требований, установленных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и нормативными правовыми актами Минэнерго России, утвержденными в соответствии с постановлением Правительства Российской Федерации от 13 августа 2018 г. N 937 &quot;Об утверждении Правил технологического функциони...">
        <w:r>
          <w:rPr>
            <w:sz w:val="24"/>
            <w:color w:val="0000ff"/>
          </w:rPr>
          <w:t xml:space="preserve">пункте 9</w:t>
        </w:r>
      </w:hyperlink>
      <w:r>
        <w:rPr>
          <w:sz w:val="24"/>
        </w:rPr>
        <w:t xml:space="preserve"> Правил), а также предварительных вариантов размещения объектов электросетевого хозяйства, в том числе прохождения трасс ЛЭП, планируемых к строительству такими владельцами объектов электроэнергетики в соответствии с проектом схемы выдачи мощности (схемы внешнего электроснабжения), и предварительной оценки капитальных затрат на выполнение технических решений, планируемых к реализации на принадлежащих таким владельцам объектах электроэнергетики.</w:t>
      </w:r>
    </w:p>
    <w:p>
      <w:pPr>
        <w:pStyle w:val="0"/>
        <w:jc w:val="both"/>
      </w:pPr>
      <w:r>
        <w:rPr>
          <w:sz w:val="24"/>
        </w:rPr>
        <w:t xml:space="preserve">(п. 53(1) введен </w:t>
      </w:r>
      <w:hyperlink w:history="0" r:id="rId87"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Приказом</w:t>
        </w:r>
      </w:hyperlink>
      <w:r>
        <w:rPr>
          <w:sz w:val="24"/>
        </w:rPr>
        <w:t xml:space="preserve"> Минэнерго России от 28.04.2023 N 289)</w:t>
      </w:r>
    </w:p>
    <w:p>
      <w:pPr>
        <w:pStyle w:val="0"/>
        <w:spacing w:before="240" w:lineRule="auto"/>
        <w:ind w:firstLine="540"/>
        <w:jc w:val="both"/>
      </w:pPr>
      <w:r>
        <w:rPr>
          <w:sz w:val="24"/>
        </w:rPr>
        <w:t xml:space="preserve">54. Схема выдачи мощности (схема внешнего электроснабжения) должна быть утверждена заявителем в срок не позднее 5 рабочих дней после дня снятия имеющихся разногласий (при их наличии) и ее согласования субъектом оперативно-диспетчерского управления, сетевой организацией и владельцами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w:t>
      </w:r>
    </w:p>
    <w:p>
      <w:pPr>
        <w:pStyle w:val="0"/>
        <w:jc w:val="both"/>
      </w:pPr>
      <w:r>
        <w:rPr>
          <w:sz w:val="24"/>
        </w:rPr>
        <w:t xml:space="preserve">(в ред. </w:t>
      </w:r>
      <w:hyperlink w:history="0" r:id="rId88"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p>
      <w:pPr>
        <w:pStyle w:val="0"/>
        <w:spacing w:before="240" w:lineRule="auto"/>
        <w:ind w:firstLine="540"/>
        <w:jc w:val="both"/>
      </w:pPr>
      <w:r>
        <w:rPr>
          <w:sz w:val="24"/>
        </w:rPr>
        <w:t xml:space="preserve">Наличие неурегулированных разногласий в части разделения (распределения) капитальных затрат на реализацию рекомендуемого варианта технических решений по выдаче мощности объекта по производству электрической энергии или по внешнему электроснабжению энергопринимающих устройств не является основанием для отказа в согласовании схемы выдачи мощности или схемы внешнего электроснабжения.</w:t>
      </w:r>
    </w:p>
    <w:p>
      <w:pPr>
        <w:pStyle w:val="0"/>
        <w:spacing w:before="240" w:lineRule="auto"/>
        <w:ind w:firstLine="540"/>
        <w:jc w:val="both"/>
      </w:pPr>
      <w:r>
        <w:rPr>
          <w:sz w:val="24"/>
        </w:rPr>
        <w:t xml:space="preserve">55. Заявитель не позднее 5 рабочих дней со дня утверждения схемы выдачи мощности (схемы внешнего электроснабжения) должен направить утвержденную схему выдачи мощности (схему внешнего электроснабжения) в адрес субъекта оперативно-диспетчерского управления в электроэнергетике, сетевой организации и владельцев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в электронном виде в формате, указанном в </w:t>
      </w:r>
      <w:hyperlink w:history="0" w:anchor="P239" w:tooltip="49. Проект схемы выдачи мощности (схемы внешнего электроснабжения) должен быть направлен заявителем либо привлеченной им проектной организацией в адрес субъекта оперативно-диспетчерского управления, сетевой организации и владельцев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письмами за подписью уполномоченного должностного лица заявителя либо привлеченной им проектной организации с приложением том...">
        <w:r>
          <w:rPr>
            <w:sz w:val="24"/>
            <w:color w:val="0000ff"/>
          </w:rPr>
          <w:t xml:space="preserve">пункте 49</w:t>
        </w:r>
      </w:hyperlink>
      <w:r>
        <w:rPr>
          <w:sz w:val="24"/>
        </w:rPr>
        <w:t xml:space="preserve"> Правил.</w:t>
      </w:r>
    </w:p>
    <w:p>
      <w:pPr>
        <w:pStyle w:val="0"/>
        <w:jc w:val="both"/>
      </w:pPr>
      <w:r>
        <w:rPr>
          <w:sz w:val="24"/>
        </w:rPr>
        <w:t xml:space="preserve">(в ред. </w:t>
      </w:r>
      <w:hyperlink w:history="0" r:id="rId89"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p>
      <w:pPr>
        <w:pStyle w:val="0"/>
        <w:spacing w:before="240" w:lineRule="auto"/>
        <w:ind w:firstLine="540"/>
        <w:jc w:val="both"/>
      </w:pPr>
      <w:r>
        <w:rPr>
          <w:sz w:val="24"/>
        </w:rPr>
        <w:t xml:space="preserve">56. Внесение изменений в утвержденную схему выдачи мощности (схему внешнего электроснабжения), согласование вносимых изменений с субъектом оперативно-диспетчерского управления, сетевой организацией и владельцами объектов электроэнергетики, на которых предполагается выполнение мероприятий по технологическому присоединению объекта заявителя к электрическим сетям, их утверждение и направление указанным лицам утвержденных изменений должны осуществляться в порядке и сроки, предусмотренные настоящей главой Правил для разработки, согласования и утверждения схемы выдачи мощности (схемы внешнего электроснабжения).</w:t>
      </w:r>
    </w:p>
    <w:p>
      <w:pPr>
        <w:pStyle w:val="0"/>
        <w:jc w:val="both"/>
      </w:pPr>
      <w:r>
        <w:rPr>
          <w:sz w:val="24"/>
        </w:rPr>
        <w:t xml:space="preserve">(п. 56 в ред. </w:t>
      </w:r>
      <w:hyperlink w:history="0" r:id="rId90"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Приказа</w:t>
        </w:r>
      </w:hyperlink>
      <w:r>
        <w:rPr>
          <w:sz w:val="24"/>
        </w:rPr>
        <w:t xml:space="preserve"> Минэнерго России от 28.04.2023 N 289)</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разработки</w:t>
      </w:r>
    </w:p>
    <w:p>
      <w:pPr>
        <w:pStyle w:val="0"/>
        <w:jc w:val="right"/>
      </w:pPr>
      <w:r>
        <w:rPr>
          <w:sz w:val="24"/>
        </w:rPr>
        <w:t xml:space="preserve">и согласования схем выдачи мощности</w:t>
      </w:r>
    </w:p>
    <w:p>
      <w:pPr>
        <w:pStyle w:val="0"/>
        <w:jc w:val="right"/>
      </w:pPr>
      <w:r>
        <w:rPr>
          <w:sz w:val="24"/>
        </w:rPr>
        <w:t xml:space="preserve">объектов по производству электрической</w:t>
      </w:r>
    </w:p>
    <w:p>
      <w:pPr>
        <w:pStyle w:val="0"/>
        <w:jc w:val="right"/>
      </w:pPr>
      <w:r>
        <w:rPr>
          <w:sz w:val="24"/>
        </w:rPr>
        <w:t xml:space="preserve">энергии и схем внешнего электроснабжения</w:t>
      </w:r>
    </w:p>
    <w:p>
      <w:pPr>
        <w:pStyle w:val="0"/>
        <w:jc w:val="right"/>
      </w:pPr>
      <w:r>
        <w:rPr>
          <w:sz w:val="24"/>
        </w:rPr>
        <w:t xml:space="preserve">энергопринимающих устройств потребителей</w:t>
      </w:r>
    </w:p>
    <w:p>
      <w:pPr>
        <w:pStyle w:val="0"/>
        <w:jc w:val="right"/>
      </w:pPr>
      <w:r>
        <w:rPr>
          <w:sz w:val="24"/>
        </w:rPr>
        <w:t xml:space="preserve">электрической энергии, утвержденным</w:t>
      </w:r>
    </w:p>
    <w:p>
      <w:pPr>
        <w:pStyle w:val="0"/>
        <w:jc w:val="right"/>
      </w:pPr>
      <w:r>
        <w:rPr>
          <w:sz w:val="24"/>
        </w:rPr>
        <w:t xml:space="preserve">приказом Минэнерго России</w:t>
      </w:r>
    </w:p>
    <w:p>
      <w:pPr>
        <w:pStyle w:val="0"/>
        <w:jc w:val="right"/>
      </w:pPr>
      <w:r>
        <w:rPr>
          <w:sz w:val="24"/>
        </w:rPr>
        <w:t xml:space="preserve">от 28.12.2020 N 1195</w:t>
      </w:r>
    </w:p>
    <w:p>
      <w:pPr>
        <w:pStyle w:val="0"/>
        <w:jc w:val="both"/>
      </w:pPr>
      <w:r>
        <w:rPr>
          <w:sz w:val="24"/>
        </w:rPr>
      </w:r>
    </w:p>
    <w:bookmarkStart w:id="278" w:name="P278"/>
    <w:bookmarkEnd w:id="278"/>
    <w:p>
      <w:pPr>
        <w:pStyle w:val="2"/>
        <w:jc w:val="center"/>
      </w:pPr>
      <w:r>
        <w:rPr>
          <w:sz w:val="24"/>
        </w:rPr>
        <w:t xml:space="preserve">ТРЕБОВАНИЯ</w:t>
      </w:r>
    </w:p>
    <w:p>
      <w:pPr>
        <w:pStyle w:val="2"/>
        <w:jc w:val="center"/>
      </w:pPr>
      <w:r>
        <w:rPr>
          <w:sz w:val="24"/>
        </w:rPr>
        <w:t xml:space="preserve">К СОСТАВУ И ОБЪЕМУ РАСЧЕТОВ, СОСТАВУ И СОДЕРЖАНИЮ РАБОТ,</w:t>
      </w:r>
    </w:p>
    <w:p>
      <w:pPr>
        <w:pStyle w:val="2"/>
        <w:jc w:val="center"/>
      </w:pPr>
      <w:r>
        <w:rPr>
          <w:sz w:val="24"/>
        </w:rPr>
        <w:t xml:space="preserve">ВЫПОЛНЯЕМЫХ В РАМКАХ РАЗРАБОТКИ СХЕМЫ ВЫДАЧИ МОЩНОСТИ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06.12.2022 </w:t>
            </w:r>
            <w:hyperlink w:history="0" r:id="rId91"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N 1286</w:t>
              </w:r>
            </w:hyperlink>
            <w:r>
              <w:rPr>
                <w:sz w:val="24"/>
                <w:color w:val="392c69"/>
              </w:rPr>
              <w:t xml:space="preserve">, от 17.02.2023 </w:t>
            </w:r>
            <w:hyperlink w:history="0" r:id="rId92"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N 82</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При разработке схемы выдачи мощности необходимо:</w:t>
      </w:r>
    </w:p>
    <w:p>
      <w:pPr>
        <w:pStyle w:val="0"/>
        <w:spacing w:before="240" w:lineRule="auto"/>
        <w:ind w:firstLine="540"/>
        <w:jc w:val="both"/>
      </w:pPr>
      <w:r>
        <w:rPr>
          <w:sz w:val="24"/>
        </w:rPr>
        <w:t xml:space="preserve">провести краткий анализ существующего баланса мощности и электрической энергии энергорайона, территориальной энергосистемы и (или) объединенной энергосистемы, на территории которого(ой) планируется строительство (реконструкция, увеличение максимальной мощности) объекта по производству электрической энергии (далее - энергорайон), и разработать основные показатели развития электроэнергетики энергорайона с оценкой уровня потребления электрической мощности в отдельных узлах, предельных параметров суточного графика потребления мощности энергосистемы - максимум и минимум потребления мощности для характерных режимов (летнего, зимнего, периода паводка, половодья), балансов мощности и электрической энергии. При разработке схемы выдачи мощности объекта по производству электрической энергии, влияющего на режим работы прилегающего энергорайона, должны также рассматриваться балансы мощности и электрической энергии прилегающих энергорайонов;</w:t>
      </w:r>
    </w:p>
    <w:p>
      <w:pPr>
        <w:pStyle w:val="0"/>
        <w:spacing w:before="240" w:lineRule="auto"/>
        <w:ind w:firstLine="540"/>
        <w:jc w:val="both"/>
      </w:pPr>
      <w:r>
        <w:rPr>
          <w:sz w:val="24"/>
        </w:rPr>
        <w:t xml:space="preserve">разработать балансы мощности и электрической энергии энергорайона с учетом строительства (реконструкции, увеличения максимальной мощности) объекта по производству электрической энергии, а также с учетом очередности строительства (реконструкции) иных объектов по производству электрической энергии, очередности и объема мероприятий по строительству (реконструкции, модернизации) электрических сетей.</w:t>
      </w:r>
    </w:p>
    <w:p>
      <w:pPr>
        <w:pStyle w:val="0"/>
        <w:spacing w:before="240" w:lineRule="auto"/>
        <w:ind w:firstLine="540"/>
        <w:jc w:val="both"/>
      </w:pPr>
      <w:r>
        <w:rPr>
          <w:sz w:val="24"/>
        </w:rPr>
        <w:t xml:space="preserve">Проведение указанного в настоящем пункте анализа существующего баланса мощности и электрической энергии энергорайона и разработка балансов мощности и электрической энергии энергорайона должны осуществляться:</w:t>
      </w:r>
    </w:p>
    <w:p>
      <w:pPr>
        <w:pStyle w:val="0"/>
        <w:spacing w:before="240" w:lineRule="auto"/>
        <w:ind w:firstLine="540"/>
        <w:jc w:val="both"/>
      </w:pPr>
      <w:r>
        <w:rPr>
          <w:sz w:val="24"/>
        </w:rPr>
        <w:t xml:space="preserve">на год ввода в работу в составе энергосистемы (далее - год ввода в работу) каждого энергоблока, турбогенератора, гидроагрегата или этапа (очереди) строительства (реконструкции, технологического присоединения) объекта по производству электрической энергии, связанного с увеличением его максимальной мощности (далее - единица генерирующего оборудования);</w:t>
      </w:r>
    </w:p>
    <w:p>
      <w:pPr>
        <w:pStyle w:val="0"/>
        <w:spacing w:before="240" w:lineRule="auto"/>
        <w:ind w:firstLine="540"/>
        <w:jc w:val="both"/>
      </w:pPr>
      <w:r>
        <w:rPr>
          <w:sz w:val="24"/>
        </w:rPr>
        <w:t xml:space="preserve">на перспективу 5 лет начиная с указанной в техническом задании планируемой даты ввода в работу в составе энергосистемы последней единицы генерирующего оборудования в случае, если указанный пятилетний период не превышает период, на который разработаны схема и программа развития электроэнергетических систем России (до утверждения таких схемы и программы в 2023 г. (в отношении технологически изолированных территориальных электроэнергетических систем в 2024 г.) - схема и программа развития Единой энергетической системы России (схема и программа развития электроэнергетики соответствующего субъекта Российской Федерации - для технологически изолированных территориальных электроэнергетических систем), являющиеся актуальными на дату утверждения технического задания на разработку схемы выдачи мощности (далее - расчетный период схемы и программы развития), либо на последний год расчетного периода схемы и программы развития, актуальных на дату утверждения технического задания на разработку схемы выдачи мощности, в случае, если планируемые годы ввода в работу последующих единиц генерирующего оборудования выходят за пределы расчетного периода схемы и программы развития (далее - перспектива 5 лет).</w:t>
      </w:r>
    </w:p>
    <w:p>
      <w:pPr>
        <w:pStyle w:val="0"/>
        <w:jc w:val="both"/>
      </w:pPr>
      <w:r>
        <w:rPr>
          <w:sz w:val="24"/>
        </w:rPr>
        <w:t xml:space="preserve">(в ред. </w:t>
      </w:r>
      <w:hyperlink w:history="0" r:id="rId93"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2. При разработке схемы выдачи мощности должны быть определены режимы работы объекта по производству электрической энергии, учитывающие предельные параметры суточного графика потребления мощности энергосистемы - максимум и минимум потребления мощности для характерных режимов (летнего, зимнего, периода паводка/половодья).</w:t>
      </w:r>
    </w:p>
    <w:p>
      <w:pPr>
        <w:pStyle w:val="0"/>
        <w:spacing w:before="240" w:lineRule="auto"/>
        <w:ind w:firstLine="540"/>
        <w:jc w:val="both"/>
      </w:pPr>
      <w:r>
        <w:rPr>
          <w:sz w:val="24"/>
        </w:rPr>
        <w:t xml:space="preserve">3. При разработке схемы выдачи мощности должен быть проведен анализ режима работы основной электрической сети напряжением 110 кВ и выше (в случае если схемой выдачи мощности предусматривается выдача мощности объекта по производству электрической энергии в электрическую сеть напряжением 6 - 35 кВ - также электрической сети напряжением 6 - 35 кВ соответственно) (далее - электрическая сеть напряжением (6 - 35) 110 кВ и выше) энергорайона на основании фактического баланса мощности и электрической энергии и параметров электроэнергетического режима за дни контрольных замеров.</w:t>
      </w:r>
    </w:p>
    <w:p>
      <w:pPr>
        <w:pStyle w:val="0"/>
        <w:spacing w:before="240" w:lineRule="auto"/>
        <w:ind w:firstLine="540"/>
        <w:jc w:val="both"/>
      </w:pPr>
      <w:r>
        <w:rPr>
          <w:sz w:val="24"/>
        </w:rPr>
        <w:t xml:space="preserve">С учетом результатов указанного анализа и расчетов, проводимых в соответствии с требованиями настоящего приложения, должна быть разработана схема электрической сети напряжением (6 - 35) 110 кВ и выше энергорайона на год ввода в работу каждой единицы генерирующего оборудования и перспективу 5 лет и определены варианты развития электрической сети напряжением (6 - 35) 110 кВ и выше, обеспечивающие выдачу мощности объекта по производству электрической энергии (каждой единицы генерирующего оборудования).</w:t>
      </w:r>
    </w:p>
    <w:p>
      <w:pPr>
        <w:pStyle w:val="0"/>
        <w:spacing w:before="240" w:lineRule="auto"/>
        <w:ind w:firstLine="540"/>
        <w:jc w:val="both"/>
      </w:pPr>
      <w:r>
        <w:rPr>
          <w:sz w:val="24"/>
        </w:rPr>
        <w:t xml:space="preserve">4. При определении технических мероприятий по строительству (реконструкции, модернизации) электрических сетей должна быть учтена очередность ввода каждой единицы генерирующего оборудования, а также этапы пусконаладочных работ и комплексных испытаний каждой единицы генерирующего оборудования, графики набора мощности энергоблоками атомных электростанций до их ввода в промышленную эксплуатацию.</w:t>
      </w:r>
    </w:p>
    <w:bookmarkStart w:id="295" w:name="P295"/>
    <w:bookmarkEnd w:id="295"/>
    <w:p>
      <w:pPr>
        <w:pStyle w:val="0"/>
        <w:spacing w:before="240" w:lineRule="auto"/>
        <w:ind w:firstLine="540"/>
        <w:jc w:val="both"/>
      </w:pPr>
      <w:r>
        <w:rPr>
          <w:sz w:val="24"/>
        </w:rPr>
        <w:t xml:space="preserve">5. Для определения основных технических решений по выдаче мощности объекта по производству электрической энергии при разработке схемы выдачи мощности должны быть проведены расчеты электроэнергетических режимов для нормальной и основных ремонтных схем, а также нормативных возмущений в указанных схемах в соответствии с </w:t>
      </w:r>
      <w:hyperlink w:history="0" r:id="rId94"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требованиями</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утвержденными приказом Минэнерго России от 3 августа 2018 г. N 630 (зарегистрирован Минюстом России 29 августа 2018 г., регистрационный N 52023) (далее - Методические указания по устойчивости энергосистем).</w:t>
      </w:r>
    </w:p>
    <w:p>
      <w:pPr>
        <w:pStyle w:val="0"/>
        <w:spacing w:before="240" w:lineRule="auto"/>
        <w:ind w:firstLine="540"/>
        <w:jc w:val="both"/>
      </w:pPr>
      <w:r>
        <w:rPr>
          <w:sz w:val="24"/>
        </w:rPr>
        <w:t xml:space="preserve">При проведении расчетов электроэнергетических режимов необходимо учитывать существующие устройства сетевой автоматики и устройства (комплексы) противоаварийной автоматики (далее - ПА), установленные на объектах электроэнергетики классом напряжения (6 - 35) 110 кВ и выше энергорайона.</w:t>
      </w:r>
    </w:p>
    <w:p>
      <w:pPr>
        <w:pStyle w:val="0"/>
        <w:spacing w:before="240" w:lineRule="auto"/>
        <w:ind w:firstLine="540"/>
        <w:jc w:val="both"/>
      </w:pPr>
      <w:r>
        <w:rPr>
          <w:sz w:val="24"/>
        </w:rPr>
        <w:t xml:space="preserve">При анализе перспективных режимов работы электрических сетей и формировании требований к пропускной способности электрической сети напряжением (6 - 35) 110 кВ и выше энергорайона необходимо рассматривать режимы зимнего максимума потребления мощности, зимнего минимума потребления мощности, летнего максимума потребления мощности и летнего минимума потребления мощности. Результаты расчетов должны быть представлены в табличной и графической формах.</w:t>
      </w:r>
    </w:p>
    <w:p>
      <w:pPr>
        <w:pStyle w:val="0"/>
        <w:jc w:val="both"/>
      </w:pPr>
      <w:r>
        <w:rPr>
          <w:sz w:val="24"/>
        </w:rPr>
        <w:t xml:space="preserve">(в ред. </w:t>
      </w:r>
      <w:hyperlink w:history="0" r:id="rId95"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Для схем выдачи мощности гидроэлектростанций, имеющих максимальную располагаемую мощность в паводковый период, также должны быть рассмотрены режимы минимума и максимума потребления мощности в период паводка (половодья).</w:t>
      </w:r>
    </w:p>
    <w:p>
      <w:pPr>
        <w:pStyle w:val="0"/>
        <w:jc w:val="both"/>
      </w:pPr>
      <w:r>
        <w:rPr>
          <w:sz w:val="24"/>
        </w:rPr>
        <w:t xml:space="preserve">(в ред. </w:t>
      </w:r>
      <w:hyperlink w:history="0" r:id="rId96"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bookmarkStart w:id="301" w:name="P301"/>
    <w:bookmarkEnd w:id="301"/>
    <w:p>
      <w:pPr>
        <w:pStyle w:val="0"/>
        <w:spacing w:before="240" w:lineRule="auto"/>
        <w:ind w:firstLine="540"/>
        <w:jc w:val="both"/>
      </w:pPr>
      <w:r>
        <w:rPr>
          <w:sz w:val="24"/>
        </w:rPr>
        <w:t xml:space="preserve">6. При выполнении расчетов электроэнергетических режимов и определении основных технических решений по выдаче мощности объекта по производству электрической энергии мощность объекта по производству электрической энергии, для которого осуществляется разработка схемы выдачи мощности, нагрузка иных существующих и планируемых к строительству (реконструкции) электростанций энергорайона должны определяться с соблюдением требований, установленных настоящим пунктом.</w:t>
      </w:r>
    </w:p>
    <w:p>
      <w:pPr>
        <w:pStyle w:val="0"/>
        <w:spacing w:before="240" w:lineRule="auto"/>
        <w:ind w:firstLine="540"/>
        <w:jc w:val="both"/>
      </w:pPr>
      <w:r>
        <w:rPr>
          <w:sz w:val="24"/>
        </w:rPr>
        <w:t xml:space="preserve">Мощность объекта по производству электрической энергии, для которого осуществляется разработка схемы выдачи мощности (для атомных, тепловых электростанций, гидроэлектростанций и ветровых электростанций (далее - АЭС, ТЭС, ГЭС и ВЭС соответственно) для режимов зимнего максимума потребления мощности, зимнего минимума потребления мощности, летнего максимума потребления мощности, летнего минимума потребления мощности и режимов максимума и минимума потребления мощности в период паводка (половодья) должна приниматься равной максимальной располагаемой мощности.</w:t>
      </w:r>
    </w:p>
    <w:p>
      <w:pPr>
        <w:pStyle w:val="0"/>
        <w:spacing w:before="240" w:lineRule="auto"/>
        <w:ind w:firstLine="540"/>
        <w:jc w:val="both"/>
      </w:pPr>
      <w:r>
        <w:rPr>
          <w:sz w:val="24"/>
        </w:rPr>
        <w:t xml:space="preserve">Мощность солнечной электростанции (далее - СЭС), для которой осуществляется разработка схемы выдачи мощности, для режимов зимнего максимума потребления мощности, летнего максимума потребления мощности и режима максимума потребления мощности в период паводка (половодья) должна приниматься равной максимально располагаемой мощности, а для режимов летнего минимума потребления мощности, зимнего минимума потребления мощности и минимума потребления мощности в период паводка (половодья) должна приниматься равной нулю.</w:t>
      </w:r>
    </w:p>
    <w:p>
      <w:pPr>
        <w:pStyle w:val="0"/>
        <w:spacing w:before="240" w:lineRule="auto"/>
        <w:ind w:firstLine="540"/>
        <w:jc w:val="both"/>
      </w:pPr>
      <w:r>
        <w:rPr>
          <w:sz w:val="24"/>
        </w:rPr>
        <w:t xml:space="preserve">Для существующих электростанций энергорайона в составе Единой энергетической системы России:</w:t>
      </w:r>
    </w:p>
    <w:p>
      <w:pPr>
        <w:pStyle w:val="0"/>
        <w:spacing w:before="240" w:lineRule="auto"/>
        <w:ind w:firstLine="540"/>
        <w:jc w:val="both"/>
      </w:pPr>
      <w:r>
        <w:rPr>
          <w:sz w:val="24"/>
        </w:rPr>
        <w:t xml:space="preserve">нагрузка АЭС, ТЭС, ГЭС и ВЭС в режимах зимнего максимума потребления мощности, зимнего минимума потребления мощности, летнего максимума потребления мощности, летнего минимума потребления мощности, режимах минимума и максимума потребления мощности в период паводка (половодья) должна приниматься равной их характерной нагрузке для соответствующего режима, определяемой как абсолютная суммарная максимальная нагрузка указанного типа электростанций энергорайона для соответствующего режима за последние пять лет;</w:t>
      </w:r>
    </w:p>
    <w:p>
      <w:pPr>
        <w:pStyle w:val="0"/>
        <w:spacing w:before="240" w:lineRule="auto"/>
        <w:ind w:firstLine="540"/>
        <w:jc w:val="both"/>
      </w:pPr>
      <w:r>
        <w:rPr>
          <w:sz w:val="24"/>
        </w:rPr>
        <w:t xml:space="preserve">нагрузка СЭС для режимов зимнего максимума потребления мощности, летнего максимума потребления мощности и максимума потребления мощности в период паводка (половодья) должна приниматься равной их характерной нагрузке для соответствующего режима, определяемой как абсолютная суммарная максимальная нагрузка указанного типа электростанций энергорайона для соответствующего режима за последние пять лет, а для режимов летнего минимума потребления мощности, зимнего минимума потребления мощности и минимума потребления мощности в период паводка (половодья) - приниматься равной нулю.</w:t>
      </w:r>
    </w:p>
    <w:p>
      <w:pPr>
        <w:pStyle w:val="0"/>
        <w:spacing w:before="240" w:lineRule="auto"/>
        <w:ind w:firstLine="540"/>
        <w:jc w:val="both"/>
      </w:pPr>
      <w:r>
        <w:rPr>
          <w:sz w:val="24"/>
        </w:rPr>
        <w:t xml:space="preserve">Для планируемых к строительству (реконструкции) электростанций (за исключением объекта по производству электрической энергии, для которого осуществляется разработка схемы выдачи мощности) энергорайона в составе Единой энергетической системы России:</w:t>
      </w:r>
    </w:p>
    <w:p>
      <w:pPr>
        <w:pStyle w:val="0"/>
        <w:spacing w:before="240" w:lineRule="auto"/>
        <w:ind w:firstLine="540"/>
        <w:jc w:val="both"/>
      </w:pPr>
      <w:r>
        <w:rPr>
          <w:sz w:val="24"/>
        </w:rPr>
        <w:t xml:space="preserve">характерная нагрузка для АЭС, ТЭС, ГЭС и ВЭС должна определяться как произведение их установленной (максимальной) мощности на коэффициент отношения нагрузки существующих электростанций данного типа для соответствующего режима;</w:t>
      </w:r>
    </w:p>
    <w:p>
      <w:pPr>
        <w:pStyle w:val="0"/>
        <w:spacing w:before="240" w:lineRule="auto"/>
        <w:ind w:firstLine="540"/>
        <w:jc w:val="both"/>
      </w:pPr>
      <w:r>
        <w:rPr>
          <w:sz w:val="24"/>
        </w:rPr>
        <w:t xml:space="preserve">характерная нагрузка для СЭС для режимов зимнего максимума потребления мощности, летнего максимума потребления мощности и максимума потребления мощности в период паводка (половодья) должна определяться как произведение их установленной (максимальной) мощности на коэффициент отношения нагрузки существующих электростанций данного типа для соответствующего режима, а для режимов летнего минимума потребления мощности, зимнего минимума потребления мощности и минимума потребления мощности в период паводка (половодья) - приниматься равной нулю.</w:t>
      </w:r>
    </w:p>
    <w:p>
      <w:pPr>
        <w:pStyle w:val="0"/>
        <w:spacing w:before="240" w:lineRule="auto"/>
        <w:ind w:firstLine="540"/>
        <w:jc w:val="both"/>
      </w:pPr>
      <w:r>
        <w:rPr>
          <w:sz w:val="24"/>
        </w:rPr>
        <w:t xml:space="preserve">При отсутствии в энергорайоне существующих электростанций соответствующего типа величина характерной нагрузки для данного типа планируемых к строительству (реконструкции) электростанций принимается равной их максимальной располагаемой мощности.</w:t>
      </w:r>
    </w:p>
    <w:p>
      <w:pPr>
        <w:pStyle w:val="0"/>
        <w:spacing w:before="240" w:lineRule="auto"/>
        <w:ind w:firstLine="540"/>
        <w:jc w:val="both"/>
      </w:pPr>
      <w:r>
        <w:rPr>
          <w:sz w:val="24"/>
        </w:rPr>
        <w:t xml:space="preserve">Для технологически изолированных территориальных электроэнергетических систем нагрузка остальных электростанций энергосистемы (за исключением объекта по производству электрической энергии, для которого осуществляется разработка схемы выдачи мощности) должна приниматься равной такой величине, которая обеспечивает покрытие расчетного потребления мощности данной энергосистемы в целом в соответствующем характерном режиме.</w:t>
      </w:r>
    </w:p>
    <w:p>
      <w:pPr>
        <w:pStyle w:val="0"/>
        <w:jc w:val="both"/>
      </w:pPr>
      <w:r>
        <w:rPr>
          <w:sz w:val="24"/>
        </w:rPr>
        <w:t xml:space="preserve">(п. 6 в ред. </w:t>
      </w:r>
      <w:hyperlink w:history="0" r:id="rId97"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bookmarkStart w:id="313" w:name="P313"/>
    <w:bookmarkEnd w:id="313"/>
    <w:p>
      <w:pPr>
        <w:pStyle w:val="0"/>
        <w:spacing w:before="240" w:lineRule="auto"/>
        <w:ind w:firstLine="540"/>
        <w:jc w:val="both"/>
      </w:pPr>
      <w:r>
        <w:rPr>
          <w:sz w:val="24"/>
        </w:rPr>
        <w:t xml:space="preserve">7. На основании результатов расчетов и технико-экономического сравнения вариантов должен быть определен рекомендуемый вариант технических решений по выдаче мощности объекта по производству электрической энергии (далее - рекомендуемый вариант).</w:t>
      </w:r>
    </w:p>
    <w:p>
      <w:pPr>
        <w:pStyle w:val="0"/>
        <w:spacing w:before="240" w:lineRule="auto"/>
        <w:ind w:firstLine="540"/>
        <w:jc w:val="both"/>
      </w:pPr>
      <w:r>
        <w:rPr>
          <w:sz w:val="24"/>
        </w:rPr>
        <w:t xml:space="preserve">При технико-экономическом сравнении вариантов технических решений в качестве рекомендуемого варианта выбирается вариант технических решений, обеспечивающий техническую возможность выдачи мощности объекта по производству электрической энергии с соблюдением требований, предусмотренных настоящим приложением, суммарные дисконтированные затраты на реализацию которого с учетом всего перечня мероприятий для схемы выдачи мощности, выполняемых всеми собственниками или иными законными владельцами объектов электроэнергетики, являются наименьшими.</w:t>
      </w:r>
    </w:p>
    <w:p>
      <w:pPr>
        <w:pStyle w:val="0"/>
        <w:jc w:val="both"/>
      </w:pPr>
      <w:r>
        <w:rPr>
          <w:sz w:val="24"/>
        </w:rPr>
        <w:t xml:space="preserve">(в ред. </w:t>
      </w:r>
      <w:hyperlink w:history="0" r:id="rId98"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Приказа</w:t>
        </w:r>
      </w:hyperlink>
      <w:r>
        <w:rPr>
          <w:sz w:val="24"/>
        </w:rPr>
        <w:t xml:space="preserve"> Минэнерго России от 06.12.2022 N 1286)</w:t>
      </w:r>
    </w:p>
    <w:bookmarkStart w:id="316" w:name="P316"/>
    <w:bookmarkEnd w:id="316"/>
    <w:p>
      <w:pPr>
        <w:pStyle w:val="0"/>
        <w:spacing w:before="240" w:lineRule="auto"/>
        <w:ind w:firstLine="540"/>
        <w:jc w:val="both"/>
      </w:pPr>
      <w:r>
        <w:rPr>
          <w:sz w:val="24"/>
        </w:rPr>
        <w:t xml:space="preserve">8. При разработке схемы выдачи мощности для рекомендуемого варианта должны быть выполнены расчеты статической устойчивости в электрической сети энергорайона и динамической устойчивости генерирующего оборудования объекта по производству электрической энергии для нормальной и основных ремонтных схем, а также нормативных возмущений в указанных схемах в соответствии с требованиями Методических </w:t>
      </w:r>
      <w:hyperlink w:history="0" r:id="rId99"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указаний</w:t>
        </w:r>
      </w:hyperlink>
      <w:r>
        <w:rPr>
          <w:sz w:val="24"/>
        </w:rPr>
        <w:t xml:space="preserve"> по устойчивости энергосистем.</w:t>
      </w:r>
    </w:p>
    <w:p>
      <w:pPr>
        <w:pStyle w:val="0"/>
        <w:spacing w:before="240" w:lineRule="auto"/>
        <w:ind w:firstLine="540"/>
        <w:jc w:val="both"/>
      </w:pPr>
      <w:r>
        <w:rPr>
          <w:sz w:val="24"/>
        </w:rPr>
        <w:t xml:space="preserve">На основании результатов указанных расчетов должны быть определены:</w:t>
      </w:r>
    </w:p>
    <w:p>
      <w:pPr>
        <w:pStyle w:val="0"/>
        <w:spacing w:before="240" w:lineRule="auto"/>
        <w:ind w:firstLine="540"/>
        <w:jc w:val="both"/>
      </w:pPr>
      <w:r>
        <w:rPr>
          <w:sz w:val="24"/>
        </w:rPr>
        <w:t xml:space="preserve">предварительные величины максимально допустимых перетоков активной мощности в существующих и вновь образуемых контролируемых сечениях (в том числе в сечении выдачи мощности электростанции), на величину максимально допустимых перетоков активной мощности в которых оказывают влияние состав и (или) технологический режим работы генерирующего оборудования объекта по производству электрической энергии и состояние элементов схемы выдачи мощности;</w:t>
      </w:r>
    </w:p>
    <w:p>
      <w:pPr>
        <w:pStyle w:val="0"/>
        <w:spacing w:before="240" w:lineRule="auto"/>
        <w:ind w:firstLine="540"/>
        <w:jc w:val="both"/>
      </w:pPr>
      <w:r>
        <w:rPr>
          <w:sz w:val="24"/>
        </w:rPr>
        <w:t xml:space="preserve">максимально допустимое время отключения короткого замыкания по условиям обеспечения устойчивости генерирующего оборудования объекта по производству электрической энергии.</w:t>
      </w:r>
    </w:p>
    <w:p>
      <w:pPr>
        <w:pStyle w:val="0"/>
        <w:spacing w:before="240" w:lineRule="auto"/>
        <w:ind w:firstLine="540"/>
        <w:jc w:val="both"/>
      </w:pPr>
      <w:r>
        <w:rPr>
          <w:sz w:val="24"/>
        </w:rPr>
        <w:t xml:space="preserve">9. В случае если результаты расчетов статической устойчивости в электрической сети энергорайона и динамической устойчивости генерирующего оборудования объекта по производству электрической энергии для рекомендуемого варианта не удовлетворяют требованиям Методических </w:t>
      </w:r>
      <w:hyperlink w:history="0" r:id="rId100"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указаний</w:t>
        </w:r>
      </w:hyperlink>
      <w:r>
        <w:rPr>
          <w:sz w:val="24"/>
        </w:rPr>
        <w:t xml:space="preserve"> по устойчивости энергосистем и Методических указаний по проектированию развития энергосистем, должны быть выполнены расчеты статической устойчивости в электрической сети энергорайона и динамической устойчивости генерирующего оборудования для иных вариантов технических решений по выдаче мощности объекта по производству электрической энергии и на основании результатов указанных расчетов определен новый рекомендуемый вариант.</w:t>
      </w:r>
    </w:p>
    <w:p>
      <w:pPr>
        <w:pStyle w:val="0"/>
        <w:jc w:val="both"/>
      </w:pPr>
      <w:r>
        <w:rPr>
          <w:sz w:val="24"/>
        </w:rPr>
        <w:t xml:space="preserve">(в ред. </w:t>
      </w:r>
      <w:hyperlink w:history="0" r:id="rId101"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Приказа</w:t>
        </w:r>
      </w:hyperlink>
      <w:r>
        <w:rPr>
          <w:sz w:val="24"/>
        </w:rPr>
        <w:t xml:space="preserve"> Минэнерго России от 06.12.2022 N 1286)</w:t>
      </w:r>
    </w:p>
    <w:p>
      <w:pPr>
        <w:pStyle w:val="0"/>
        <w:spacing w:before="240" w:lineRule="auto"/>
        <w:ind w:firstLine="540"/>
        <w:jc w:val="both"/>
      </w:pPr>
      <w:r>
        <w:rPr>
          <w:sz w:val="24"/>
        </w:rPr>
        <w:t xml:space="preserve">10. При разработке схемы выдачи мощности для рекомендуемого варианта должны быть определены (пересмотрены) принципы действия и состав устройств (комплексов) ПА, а также определены необходимые объемы и дискретности управляющих воздействий устройств (комплексов) ПА для обеспечения устойчивости и допустимых параметров электроэнергетического режима на год ввода в работу каждой единицы генерирующего оборудования и на перспективу 5 лет и объектов электросетевого хозяйства с учетом требований Методических указаний по проектированию развития энергосистем.</w:t>
      </w:r>
    </w:p>
    <w:p>
      <w:pPr>
        <w:pStyle w:val="0"/>
        <w:jc w:val="both"/>
      </w:pPr>
      <w:r>
        <w:rPr>
          <w:sz w:val="24"/>
        </w:rPr>
        <w:t xml:space="preserve">(в ред. </w:t>
      </w:r>
      <w:hyperlink w:history="0" r:id="rId102"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Приказа</w:t>
        </w:r>
      </w:hyperlink>
      <w:r>
        <w:rPr>
          <w:sz w:val="24"/>
        </w:rPr>
        <w:t xml:space="preserve"> Минэнерго России от 06.12.2022 N 1286)</w:t>
      </w:r>
    </w:p>
    <w:p>
      <w:pPr>
        <w:pStyle w:val="0"/>
        <w:spacing w:before="240" w:lineRule="auto"/>
        <w:ind w:firstLine="540"/>
        <w:jc w:val="both"/>
      </w:pPr>
      <w:r>
        <w:rPr>
          <w:sz w:val="24"/>
        </w:rPr>
        <w:t xml:space="preserve">11. При наличии в распределительном устройстве объекта по производству электрической энергии (далее - РУ электростанции) "мертвых зон" и выявлении по результатам расчетов нарушения динамической устойчивости генерирующего оборудования объекта по производству электрической энергии при нормативных возмущениях, вызванных короткими замыканиями в "мертвой зоне" РУ электростанции, в условиях обеспечения динамической устойчивости генерирующего оборудования объекта по производству электрической энергии при нормативных возмущениях, вызванных короткими замыканиями в любой другой точке РУ электростанции (с учетом возможного отказа выключателя, учитываемого в соответствии с требованиями Методических </w:t>
      </w:r>
      <w:hyperlink w:history="0" r:id="rId103"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указаний</w:t>
        </w:r>
      </w:hyperlink>
      <w:r>
        <w:rPr>
          <w:sz w:val="24"/>
        </w:rPr>
        <w:t xml:space="preserve"> по устойчивости энергосистем), необходимо предусмотреть реализацию технических решений, обеспечивающих исключение "мертвых зон" в РУ электростанции. При этом под "мертвой зоной" в РУ напряжением 110 кВ и выше электростанции понимается совокупность точек РУ электростанции, короткие замыкания в которых ликвидируются со временем, превышающим время действия основных защит.</w:t>
      </w:r>
    </w:p>
    <w:bookmarkStart w:id="325" w:name="P325"/>
    <w:bookmarkEnd w:id="325"/>
    <w:p>
      <w:pPr>
        <w:pStyle w:val="0"/>
        <w:spacing w:before="240" w:lineRule="auto"/>
        <w:ind w:firstLine="540"/>
        <w:jc w:val="both"/>
      </w:pPr>
      <w:r>
        <w:rPr>
          <w:sz w:val="24"/>
        </w:rPr>
        <w:t xml:space="preserve">12. При разработке схемы выдачи мощности для рекомендуемого варианта должны быть проведены расчеты токов короткого замыкания на шинах объекта по производству электрической энергии и в электрической сети напряжением (6 - 35) 110 кВ энергорайона на год ввода в работу каждой единицы генерирующего оборудования и на перспективу 5 лет и выполнена оценка соответствия оборудования токам короткого замыкания на объектах электроэнергетики классом напряжения (6 - 35) 110 кВ и выше в электрической сети энергорайона. Результаты расчетов должны быть представлены в табличной и графической форме.</w:t>
      </w:r>
    </w:p>
    <w:p>
      <w:pPr>
        <w:pStyle w:val="0"/>
        <w:spacing w:before="240" w:lineRule="auto"/>
        <w:ind w:firstLine="540"/>
        <w:jc w:val="both"/>
      </w:pPr>
      <w:r>
        <w:rPr>
          <w:sz w:val="24"/>
        </w:rPr>
        <w:t xml:space="preserve">По результатам расчетов должны быть определены требования к оборудованию объекта по производству электрической энергии и технические решения по замене оборудования на других объектах электроэнергетики энергорайона и (или) разработаны мероприятия по ограничению токов короткого замыкания.</w:t>
      </w:r>
    </w:p>
    <w:p>
      <w:pPr>
        <w:pStyle w:val="0"/>
        <w:spacing w:before="240" w:lineRule="auto"/>
        <w:ind w:firstLine="540"/>
        <w:jc w:val="both"/>
      </w:pPr>
      <w:r>
        <w:rPr>
          <w:sz w:val="24"/>
        </w:rPr>
        <w:t xml:space="preserve">13. Указанные в </w:t>
      </w:r>
      <w:hyperlink w:history="0" w:anchor="P295" w:tooltip="5. Для определения основных технических решений по выдаче мощности объекта по производству электрической энергии при разработке схемы выдачи мощности должны быть проведены расчеты электроэнергетических режимов для нормальной и основных ремонтных схем, а также нормативных возмущений в указанных схемах в соответствии с требованиями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
        <w:r>
          <w:rPr>
            <w:sz w:val="24"/>
            <w:color w:val="0000ff"/>
          </w:rPr>
          <w:t xml:space="preserve">пунктах 5</w:t>
        </w:r>
      </w:hyperlink>
      <w:r>
        <w:rPr>
          <w:sz w:val="24"/>
        </w:rPr>
        <w:t xml:space="preserve">, </w:t>
      </w:r>
      <w:hyperlink w:history="0" w:anchor="P316" w:tooltip="8. При разработке схемы выдачи мощности для рекомендуемого варианта должны быть выполнены расчеты статической устойчивости в электрической сети энергорайона и динамической устойчивости генерирующего оборудования объекта по производству электрической энергии для нормальной и основных ремонтных схем, а также нормативных возмущений в указанных схемах в соответствии с требованиями Методических указаний по устойчивости энергосистем.">
        <w:r>
          <w:rPr>
            <w:sz w:val="24"/>
            <w:color w:val="0000ff"/>
          </w:rPr>
          <w:t xml:space="preserve">8</w:t>
        </w:r>
      </w:hyperlink>
      <w:r>
        <w:rPr>
          <w:sz w:val="24"/>
        </w:rPr>
        <w:t xml:space="preserve"> и </w:t>
      </w:r>
      <w:hyperlink w:history="0" w:anchor="P325" w:tooltip="12. При разработке схемы выдачи мощности для рекомендуемого варианта должны быть проведены расчеты токов короткого замыкания на шинах объекта по производству электрической энергии и в электрической сети напряжением (6 - 35) 110 кВ энергорайона на год ввода в работу каждой единицы генерирующего оборудования и на перспективу 5 лет и выполнена оценка соответствия оборудования токам короткого замыкания на объектах электроэнергетики классом напряжения (6 - 35) 110 кВ и выше в электрической сети энергорайона. ...">
        <w:r>
          <w:rPr>
            <w:sz w:val="24"/>
            <w:color w:val="0000ff"/>
          </w:rPr>
          <w:t xml:space="preserve">12</w:t>
        </w:r>
      </w:hyperlink>
      <w:r>
        <w:rPr>
          <w:sz w:val="24"/>
        </w:rPr>
        <w:t xml:space="preserve"> настоящих требований расчеты электроэнергетических режимов, статической и динамической устойчивости и токов короткого замыкания должны проводиться на год ввода в работу каждой единицы генерирующего оборудования и перспективу 5 лет.</w:t>
      </w:r>
    </w:p>
    <w:p>
      <w:pPr>
        <w:pStyle w:val="0"/>
        <w:spacing w:before="240" w:lineRule="auto"/>
        <w:ind w:firstLine="540"/>
        <w:jc w:val="both"/>
      </w:pPr>
      <w:r>
        <w:rPr>
          <w:sz w:val="24"/>
        </w:rPr>
        <w:t xml:space="preserve">14. При разработке схемы выдачи мощности для рекомендуемого варианта должен быть выполнен анализ уровней напряжения в точке присоединения объекта по производству электрической энергии и в прилегающей электрической сети напряжением (6 - 35) 110 кВ и выше энергорайона на год ввода в работу каждой единицы генерирующего оборудования и перспективу 5 лет и определены технические решения по установке необходимых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w:t>
      </w:r>
    </w:p>
    <w:p>
      <w:pPr>
        <w:pStyle w:val="0"/>
        <w:spacing w:before="240" w:lineRule="auto"/>
        <w:ind w:firstLine="540"/>
        <w:jc w:val="both"/>
      </w:pPr>
      <w:r>
        <w:rPr>
          <w:sz w:val="24"/>
        </w:rPr>
        <w:t xml:space="preserve">Для объектов по производству электрической энергии, выдача мощности которых осуществляется с использованием инверторного оборудования, также должен быть выполнен анализ влияния работы инверторного преобразователя на показатели качества электрической энергии (несимметрию, несинусоидальность) в точке присоединения объекта по производству электрической энергии и в прилегающей электрической сети.</w:t>
      </w:r>
    </w:p>
    <w:p>
      <w:pPr>
        <w:pStyle w:val="0"/>
        <w:spacing w:before="240" w:lineRule="auto"/>
        <w:ind w:firstLine="540"/>
        <w:jc w:val="both"/>
      </w:pPr>
      <w:r>
        <w:rPr>
          <w:sz w:val="24"/>
        </w:rPr>
        <w:t xml:space="preserve">Для гидроэлектростанций должна быть учтена возможность работы генераторов в режиме синхронного компенсатора.</w:t>
      </w:r>
    </w:p>
    <w:p>
      <w:pPr>
        <w:pStyle w:val="0"/>
        <w:spacing w:before="240" w:lineRule="auto"/>
        <w:ind w:firstLine="540"/>
        <w:jc w:val="both"/>
      </w:pPr>
      <w:r>
        <w:rPr>
          <w:sz w:val="24"/>
        </w:rPr>
        <w:t xml:space="preserve">15. При разработке схемы выдачи мощности должен быть выполнен анализ существующих устройств и комплексов РЗА и каналов связи для функционирования РЗА в энергорайоне, а также на объекте по производству электрической энергии (в случае разработки схемы выдачи мощности для действующего объекта по производству электрической энергии, в отношении которого планируется увеличение его максимальной мощности).</w:t>
      </w:r>
    </w:p>
    <w:p>
      <w:pPr>
        <w:pStyle w:val="0"/>
        <w:jc w:val="both"/>
      </w:pPr>
      <w:r>
        <w:rPr>
          <w:sz w:val="24"/>
        </w:rPr>
        <w:t xml:space="preserve">(в ред. </w:t>
      </w:r>
      <w:hyperlink w:history="0" r:id="rId104"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Для рекомендуемого варианта должны быть определены основные технические решения по оснащению электрической сети и объекта по производству электрической энергии комплексами и устройствами РЗА и каналами связи для функционирования РЗА (включая функциональные схемы таких комплексов и устройств РЗА и схемы организации каналов связи для функционирования РЗА, учитывающие схемы их размещения) в соответствии с требованиями </w:t>
      </w:r>
      <w:hyperlink w:history="0" r:id="rId10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утвержденных постановлением Правительства Российской Федерации от 13 августа 2018 г. N 937, и нормативными правовыми актами Минэнерго России, утвержденными в соответствии с </w:t>
      </w:r>
      <w:hyperlink w:history="0" r:id="rId10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p>
    <w:p>
      <w:pPr>
        <w:pStyle w:val="0"/>
        <w:jc w:val="both"/>
      </w:pPr>
      <w:r>
        <w:rPr>
          <w:sz w:val="24"/>
        </w:rPr>
        <w:t xml:space="preserve">(в ред. </w:t>
      </w:r>
      <w:hyperlink w:history="0" r:id="rId107"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16. При разработке схемы выдачи мощности для рекомендуемого варианта должна быть:</w:t>
      </w:r>
    </w:p>
    <w:p>
      <w:pPr>
        <w:pStyle w:val="0"/>
        <w:spacing w:before="240" w:lineRule="auto"/>
        <w:ind w:firstLine="540"/>
        <w:jc w:val="both"/>
      </w:pPr>
      <w:r>
        <w:rPr>
          <w:sz w:val="24"/>
        </w:rPr>
        <w:t xml:space="preserve">разработана принципиальная схема электрических соединений электростанции (главная схема) на год ввода в работу каждой единицы генерирующего оборудования;</w:t>
      </w:r>
    </w:p>
    <w:p>
      <w:pPr>
        <w:pStyle w:val="0"/>
        <w:spacing w:before="240" w:lineRule="auto"/>
        <w:ind w:firstLine="540"/>
        <w:jc w:val="both"/>
      </w:pPr>
      <w:r>
        <w:rPr>
          <w:sz w:val="24"/>
        </w:rPr>
        <w:t xml:space="preserve">разработана карта-схема электрической сети энергорайона;</w:t>
      </w:r>
    </w:p>
    <w:p>
      <w:pPr>
        <w:pStyle w:val="0"/>
        <w:spacing w:before="240" w:lineRule="auto"/>
        <w:ind w:firstLine="540"/>
        <w:jc w:val="both"/>
      </w:pPr>
      <w:r>
        <w:rPr>
          <w:sz w:val="24"/>
        </w:rPr>
        <w:t xml:space="preserve">проведена предварительная проработка вариантов размещения объектов электросетевого хозяйства, в том числе прохождения трасс ЛЭП;</w:t>
      </w:r>
    </w:p>
    <w:p>
      <w:pPr>
        <w:pStyle w:val="0"/>
        <w:spacing w:before="240" w:lineRule="auto"/>
        <w:ind w:firstLine="540"/>
        <w:jc w:val="both"/>
      </w:pPr>
      <w:r>
        <w:rPr>
          <w:sz w:val="24"/>
        </w:rPr>
        <w:t xml:space="preserve">проведена предварительная оценка капитальных затрат на реализацию технических решений по выдаче мощности объекта по производству электрической энергии, включая ориентировочные затраты на реализацию технических решений по оснащению электрической сети и объекта по производству электрической энергии комплексами и устройствами РЗА, с разделением затрат на реализацию технических мероприятий по объектам электроэнергетики, необходимость реализации технических мероприятий на которых предусмотрена рекомендуемым вариантом.</w:t>
      </w:r>
    </w:p>
    <w:p>
      <w:pPr>
        <w:pStyle w:val="0"/>
        <w:jc w:val="both"/>
      </w:pPr>
      <w:r>
        <w:rPr>
          <w:sz w:val="24"/>
        </w:rPr>
        <w:t xml:space="preserve">(в ред. </w:t>
      </w:r>
      <w:hyperlink w:history="0" r:id="rId108"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Абзац утратил силу. - </w:t>
      </w:r>
      <w:hyperlink w:history="0" r:id="rId109"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w:t>
        </w:r>
      </w:hyperlink>
      <w:r>
        <w:rPr>
          <w:sz w:val="24"/>
        </w:rPr>
        <w:t xml:space="preserve"> Минэнерго России от 17.02.2023 N 82.</w:t>
      </w:r>
    </w:p>
    <w:p>
      <w:pPr>
        <w:pStyle w:val="0"/>
        <w:spacing w:before="240" w:lineRule="auto"/>
        <w:ind w:firstLine="540"/>
        <w:jc w:val="both"/>
      </w:pPr>
      <w:r>
        <w:rPr>
          <w:sz w:val="24"/>
        </w:rPr>
        <w:t xml:space="preserve">17. При технико-экономическом сравнении вариантов выдачи мощности в соответствии с </w:t>
      </w:r>
      <w:hyperlink w:history="0" w:anchor="P313" w:tooltip="7. На основании результатов расчетов и технико-экономического сравнения вариантов должен быть определен рекомендуемый вариант технических решений по выдаче мощности объекта по производству электрической энергии (далее - рекомендуемый вариант).">
        <w:r>
          <w:rPr>
            <w:sz w:val="24"/>
            <w:color w:val="0000ff"/>
          </w:rPr>
          <w:t xml:space="preserve">пунктом 7</w:t>
        </w:r>
      </w:hyperlink>
      <w:r>
        <w:rPr>
          <w:sz w:val="24"/>
        </w:rPr>
        <w:t xml:space="preserve"> настоящих требований и предварительной оценке капитальных затрат на реализацию технических мероприятий по строительству (реконструкции, модернизации) электрических сетей, в том числе технических решений, планируемых к реализации на объектах смежных сетевых организаций, для рекомендуемого варианта затраты на реализацию мероприятий на объектах электросетевого хозяйства должны определяться с использованием укрупненных </w:t>
      </w:r>
      <w:hyperlink w:history="0" r:id="rId110" w:tooltip="Приказ Минэнерго России от 17.01.2019 N 10 &quot;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quot; (Зарегистрировано в Минюсте России 07.02.2019 N 53709) ------------ Утратил силу или отменен {КонсультантПлюс}">
        <w:r>
          <w:rPr>
            <w:sz w:val="24"/>
            <w:color w:val="0000ff"/>
          </w:rPr>
          <w:t xml:space="preserve">нормативов</w:t>
        </w:r>
      </w:hyperlink>
      <w:r>
        <w:rPr>
          <w:sz w:val="24"/>
        </w:rPr>
        <w:t xml:space="preserve"> цены типовых технологических решений, утвержденных приказом Минэнерго России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 (зарегистрирован Минюстом России 7 февраля 2019 г., регистрационный N 53709).</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разработки</w:t>
      </w:r>
    </w:p>
    <w:p>
      <w:pPr>
        <w:pStyle w:val="0"/>
        <w:jc w:val="right"/>
      </w:pPr>
      <w:r>
        <w:rPr>
          <w:sz w:val="24"/>
        </w:rPr>
        <w:t xml:space="preserve">и согласования схем выдачи мощности</w:t>
      </w:r>
    </w:p>
    <w:p>
      <w:pPr>
        <w:pStyle w:val="0"/>
        <w:jc w:val="right"/>
      </w:pPr>
      <w:r>
        <w:rPr>
          <w:sz w:val="24"/>
        </w:rPr>
        <w:t xml:space="preserve">объектов по производству электрической</w:t>
      </w:r>
    </w:p>
    <w:p>
      <w:pPr>
        <w:pStyle w:val="0"/>
        <w:jc w:val="right"/>
      </w:pPr>
      <w:r>
        <w:rPr>
          <w:sz w:val="24"/>
        </w:rPr>
        <w:t xml:space="preserve">энергии и схем внешнего электроснабжения</w:t>
      </w:r>
    </w:p>
    <w:p>
      <w:pPr>
        <w:pStyle w:val="0"/>
        <w:jc w:val="right"/>
      </w:pPr>
      <w:r>
        <w:rPr>
          <w:sz w:val="24"/>
        </w:rPr>
        <w:t xml:space="preserve">энергопринимающих устройств потребителей</w:t>
      </w:r>
    </w:p>
    <w:p>
      <w:pPr>
        <w:pStyle w:val="0"/>
        <w:jc w:val="right"/>
      </w:pPr>
      <w:r>
        <w:rPr>
          <w:sz w:val="24"/>
        </w:rPr>
        <w:t xml:space="preserve">электрической энергии, утвержденным</w:t>
      </w:r>
    </w:p>
    <w:p>
      <w:pPr>
        <w:pStyle w:val="0"/>
        <w:jc w:val="right"/>
      </w:pPr>
      <w:r>
        <w:rPr>
          <w:sz w:val="24"/>
        </w:rPr>
        <w:t xml:space="preserve">приказом Минэнерго России</w:t>
      </w:r>
    </w:p>
    <w:p>
      <w:pPr>
        <w:pStyle w:val="0"/>
        <w:jc w:val="right"/>
      </w:pPr>
      <w:r>
        <w:rPr>
          <w:sz w:val="24"/>
        </w:rPr>
        <w:t xml:space="preserve">от 28.12.2020 N 1195</w:t>
      </w:r>
    </w:p>
    <w:p>
      <w:pPr>
        <w:pStyle w:val="0"/>
        <w:jc w:val="both"/>
      </w:pPr>
      <w:r>
        <w:rPr>
          <w:sz w:val="24"/>
        </w:rPr>
      </w:r>
    </w:p>
    <w:bookmarkStart w:id="358" w:name="P358"/>
    <w:bookmarkEnd w:id="358"/>
    <w:p>
      <w:pPr>
        <w:pStyle w:val="2"/>
        <w:jc w:val="center"/>
      </w:pPr>
      <w:r>
        <w:rPr>
          <w:sz w:val="24"/>
        </w:rPr>
        <w:t xml:space="preserve">ТРЕБОВАНИЯ</w:t>
      </w:r>
    </w:p>
    <w:p>
      <w:pPr>
        <w:pStyle w:val="2"/>
        <w:jc w:val="center"/>
      </w:pPr>
      <w:r>
        <w:rPr>
          <w:sz w:val="24"/>
        </w:rPr>
        <w:t xml:space="preserve">К СОСТАВУ И ОБЪЕМУ РАСЧЕТОВ, СОСТАВУ И СОДЕРЖАНИЮ РАБОТ,</w:t>
      </w:r>
    </w:p>
    <w:p>
      <w:pPr>
        <w:pStyle w:val="2"/>
        <w:jc w:val="center"/>
      </w:pPr>
      <w:r>
        <w:rPr>
          <w:sz w:val="24"/>
        </w:rPr>
        <w:t xml:space="preserve">ВЫПОЛНЯЕМЫХ В РАМКАХ РАЗРАБОТКИ СХЕМЫ</w:t>
      </w:r>
    </w:p>
    <w:p>
      <w:pPr>
        <w:pStyle w:val="2"/>
        <w:jc w:val="center"/>
      </w:pPr>
      <w:r>
        <w:rPr>
          <w:sz w:val="24"/>
        </w:rPr>
        <w:t xml:space="preserve">ВНЕШНЕГО ЭЛЕКТРОСНАБЖЕНИЯ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06.12.2022 </w:t>
            </w:r>
            <w:hyperlink w:history="0" r:id="rId111"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N 1286</w:t>
              </w:r>
            </w:hyperlink>
            <w:r>
              <w:rPr>
                <w:sz w:val="24"/>
                <w:color w:val="392c69"/>
              </w:rPr>
              <w:t xml:space="preserve">, от 17.02.2023 </w:t>
            </w:r>
            <w:hyperlink w:history="0" r:id="rId112"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N 82</w:t>
              </w:r>
            </w:hyperlink>
            <w:r>
              <w:rPr>
                <w:sz w:val="24"/>
                <w:color w:val="392c69"/>
              </w:rPr>
              <w:t xml:space="preserve">,</w:t>
            </w:r>
          </w:p>
          <w:p>
            <w:pPr>
              <w:pStyle w:val="0"/>
              <w:jc w:val="center"/>
            </w:pPr>
            <w:r>
              <w:rPr>
                <w:sz w:val="24"/>
                <w:color w:val="392c69"/>
              </w:rPr>
              <w:t xml:space="preserve">от 28.04.2023 </w:t>
            </w:r>
            <w:hyperlink w:history="0" r:id="rId113"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N 289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При разработке схемы внешнего электроснабжения необходимо:</w:t>
      </w:r>
    </w:p>
    <w:p>
      <w:pPr>
        <w:pStyle w:val="0"/>
        <w:spacing w:before="240" w:lineRule="auto"/>
        <w:ind w:firstLine="540"/>
        <w:jc w:val="both"/>
      </w:pPr>
      <w:r>
        <w:rPr>
          <w:sz w:val="24"/>
        </w:rPr>
        <w:t xml:space="preserve">провести краткий анализ существующего баланса мощности и электрической энергии энергорайона, территориальной энергосистемы и (или) объединенной энергосистемы, на территории которого(ой) планируется технологическое присоединение энергопринимающих устройств заявителя (далее - энергорайон), и разработать основные показатели развития электроэнергетики энергорайона с оценкой уровня потребления электрической энергии и мощности в отдельных узлах, суточного графика нагрузки, балансов мощности и электрической энергии. При разработке схемы внешнего электроснабжения энергопринимающих устройств, влияющих на режим работы прилегающего энергорайона, должны также рассматриваться балансы мощности и электрической энергии прилегающих энергорайонов;</w:t>
      </w:r>
    </w:p>
    <w:p>
      <w:pPr>
        <w:pStyle w:val="0"/>
        <w:spacing w:before="240" w:lineRule="auto"/>
        <w:ind w:firstLine="540"/>
        <w:jc w:val="both"/>
      </w:pPr>
      <w:r>
        <w:rPr>
          <w:sz w:val="24"/>
        </w:rPr>
        <w:t xml:space="preserve">разработать балансы мощности и электрической энергии энергорайона с учетом очередности и объема мероприятий по строительству (реконструкции, модернизации) электрических сетей.</w:t>
      </w:r>
    </w:p>
    <w:p>
      <w:pPr>
        <w:pStyle w:val="0"/>
        <w:spacing w:before="240" w:lineRule="auto"/>
        <w:ind w:firstLine="540"/>
        <w:jc w:val="both"/>
      </w:pPr>
      <w:r>
        <w:rPr>
          <w:sz w:val="24"/>
        </w:rPr>
        <w:t xml:space="preserve">Проведение указанного в настоящем пункте анализа существующего баланса мощности и электрической энергии энергорайона и разработка балансов мощности и электрической энергии энергорайона должны осуществляться:</w:t>
      </w:r>
    </w:p>
    <w:p>
      <w:pPr>
        <w:pStyle w:val="0"/>
        <w:spacing w:before="240" w:lineRule="auto"/>
        <w:ind w:firstLine="540"/>
        <w:jc w:val="both"/>
      </w:pPr>
      <w:r>
        <w:rPr>
          <w:sz w:val="24"/>
        </w:rPr>
        <w:t xml:space="preserve">для каждого этапа технологического присоединения энергопринимающих устройств;</w:t>
      </w:r>
    </w:p>
    <w:p>
      <w:pPr>
        <w:pStyle w:val="0"/>
        <w:spacing w:before="240" w:lineRule="auto"/>
        <w:ind w:firstLine="540"/>
        <w:jc w:val="both"/>
      </w:pPr>
      <w:r>
        <w:rPr>
          <w:sz w:val="24"/>
        </w:rPr>
        <w:t xml:space="preserve">на перспективу 5 лет начиная с указанной в техническом задании планируемой даты завершения последнего этапа технологического присоединения энергопринимающих устройств в случае, если указанный пятилетний период не превышает период, на который разработаны схема и программа развития электроэнергетических систем России (до утверждения таких схемы и программы в 2023 г. (в отношении технологически изолированных территориальных электроэнергетических систем в 2024 г.) - схема и программа развития Единой энергетической системы России (схема и программа развития электроэнергетики соответствующего субъекта Российской Федерации - для технологически изолированных территориальных электроэнергетических систем), являющиеся актуальными на дату утверждения технического задания на разработку схемы внешнего электроснабжения (далее - расчетный период схемы и программы развития), либо на последний год расчетного периода схемы и программы развития, актуальных на дату утверждения технического задания на разработку схемы внешнего электроснабжения, в случае если планируемые сроки реализации последующих этапов технологического присоединения энергопринимающих устройств выходят за пределы расчетного периода схемы и программы развития (далее - перспектива 5 лет).</w:t>
      </w:r>
    </w:p>
    <w:p>
      <w:pPr>
        <w:pStyle w:val="0"/>
        <w:jc w:val="both"/>
      </w:pPr>
      <w:r>
        <w:rPr>
          <w:sz w:val="24"/>
        </w:rPr>
        <w:t xml:space="preserve">(в ред. </w:t>
      </w:r>
      <w:hyperlink w:history="0" r:id="rId114"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2. При разработке схемы внешнего электроснабжения должен быть проведен анализ режима работы основной электрической сети напряжением 110 кВ и выше (в случае если схемой внешнего электроснабжения предусматривается присоединение энергопринимающих устройств заявителя к электрическим сетям напряжением 6 - 35 кВ, также анализ режима работы электрической сети напряжением 6 - 35 кВ соответственно) (далее по тексту настоящих требований - электрическая сеть напряжением (6 - 35) 110 кВ и выше) энергорайона на основании фактического баланса мощности и электрической энергии и параметров электроэнергетического режима за дни контрольных замеров.</w:t>
      </w:r>
    </w:p>
    <w:p>
      <w:pPr>
        <w:pStyle w:val="0"/>
        <w:spacing w:before="240" w:lineRule="auto"/>
        <w:ind w:firstLine="540"/>
        <w:jc w:val="both"/>
      </w:pPr>
      <w:r>
        <w:rPr>
          <w:sz w:val="24"/>
        </w:rPr>
        <w:t xml:space="preserve">С учетом результатов указанного анализа и расчетов, проводимых в соответствии с требованиями настоящего приложения, должна быть разработана схема основной электрической сети напряжением (6 - 35) 110 кВ и выше энергорайона для каждого этапа технологического присоединения энергопринимающих устройств и на перспективу 5 лет.</w:t>
      </w:r>
    </w:p>
    <w:p>
      <w:pPr>
        <w:pStyle w:val="0"/>
        <w:spacing w:before="240" w:lineRule="auto"/>
        <w:ind w:firstLine="540"/>
        <w:jc w:val="both"/>
      </w:pPr>
      <w:r>
        <w:rPr>
          <w:sz w:val="24"/>
        </w:rPr>
        <w:t xml:space="preserve">3. При определении технических мероприятий по строительству (реконструкции, модернизации) электрических сетей должны быть учтены этапы технологического присоединения энергопринимающих устройств, а также заявленная категория надежности электроснабжения энергопринимающих устройств заявителя.</w:t>
      </w:r>
    </w:p>
    <w:bookmarkStart w:id="376" w:name="P376"/>
    <w:bookmarkEnd w:id="376"/>
    <w:p>
      <w:pPr>
        <w:pStyle w:val="0"/>
        <w:spacing w:before="240" w:lineRule="auto"/>
        <w:ind w:firstLine="540"/>
        <w:jc w:val="both"/>
      </w:pPr>
      <w:r>
        <w:rPr>
          <w:sz w:val="24"/>
        </w:rPr>
        <w:t xml:space="preserve">4. Для определения основных технических решений по схеме внешнего электроснабжения должны быть проведены расчеты электроэнергетических режимов для нормальной и основных ремонтных схем, а также нормативных возмущений в указанных схемах в соответствии с </w:t>
      </w:r>
      <w:hyperlink w:history="0" r:id="rId115"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требованиями</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утвержденными приказом Минэнерго России от 3 августа 2018 г. N 630 (зарегистрирован Минюстом России 29 августа 2018 г., регистрационный N 52023) (далее - Методические указания по устойчивости энергосистем) для каждого этапа технологического присоединения энергопринимающих устройств и на перспективу 5 лет.</w:t>
      </w:r>
    </w:p>
    <w:p>
      <w:pPr>
        <w:pStyle w:val="0"/>
        <w:spacing w:before="240" w:lineRule="auto"/>
        <w:ind w:firstLine="540"/>
        <w:jc w:val="both"/>
      </w:pPr>
      <w:r>
        <w:rPr>
          <w:sz w:val="24"/>
        </w:rPr>
        <w:t xml:space="preserve">При проведении расчетов электроэнергетических режимов необходимо учитывать существующие устройства сетевой автоматики и устройства (комплексы) противоаварийной автоматики, установленные на объектах электроэнергетики классом напряжения (6-35) 110 кВ и выше энергорайона.</w:t>
      </w:r>
    </w:p>
    <w:p>
      <w:pPr>
        <w:pStyle w:val="0"/>
        <w:spacing w:before="240" w:lineRule="auto"/>
        <w:ind w:firstLine="540"/>
        <w:jc w:val="both"/>
      </w:pPr>
      <w:r>
        <w:rPr>
          <w:sz w:val="24"/>
        </w:rPr>
        <w:t xml:space="preserve">При анализе перспективных режимов работы электрических сетей и формировании требований к пропускной способности электрической сети напряжением (6 - 35) 110 кВ и выше энергорайона необходимо рассматривать режимы зимнего максимума потребления мощности, зимнего минимума потребления мощности, летнего максимума потребления мощности и летнего минимума потребления мощности. Результаты расчетов должны быть представлены в табличной и графической форме.</w:t>
      </w:r>
    </w:p>
    <w:p>
      <w:pPr>
        <w:pStyle w:val="0"/>
        <w:jc w:val="both"/>
      </w:pPr>
      <w:r>
        <w:rPr>
          <w:sz w:val="24"/>
        </w:rPr>
        <w:t xml:space="preserve">(в ред. </w:t>
      </w:r>
      <w:hyperlink w:history="0" r:id="rId116"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bookmarkStart w:id="380" w:name="P380"/>
    <w:bookmarkEnd w:id="380"/>
    <w:p>
      <w:pPr>
        <w:pStyle w:val="0"/>
        <w:spacing w:before="240" w:lineRule="auto"/>
        <w:ind w:firstLine="540"/>
        <w:jc w:val="both"/>
      </w:pPr>
      <w:r>
        <w:rPr>
          <w:sz w:val="24"/>
        </w:rPr>
        <w:t xml:space="preserve">5. На основании результатов расчетов и технико-экономического сравнения вариантов должен быть определен рекомендуемый вариант технических решений по внешнему электроснабжению энергопринимающих устройств заявителя (далее - рекомендуемый вариант).</w:t>
      </w:r>
    </w:p>
    <w:p>
      <w:pPr>
        <w:pStyle w:val="0"/>
        <w:spacing w:before="240" w:lineRule="auto"/>
        <w:ind w:firstLine="540"/>
        <w:jc w:val="both"/>
      </w:pPr>
      <w:r>
        <w:rPr>
          <w:sz w:val="24"/>
        </w:rPr>
        <w:t xml:space="preserve">При технико-экономическом сравнении вариантов технических решений в качестве рекомендуемого варианта выбирается вариант технических решений, обеспечивающий техническую возможность внешнего электроснабжения энергопринимающих устройств заявителя с соблюдением требований, предусмотренных настоящим приложением, суммарные дисконтированные затраты на реализацию которого с учетом всего перечня мероприятий для схемы внешнего электроснабжения, выполняемых всеми собственниками или иными законными владельцами объектов электроэнергетики, являются наименьшими.</w:t>
      </w:r>
    </w:p>
    <w:p>
      <w:pPr>
        <w:pStyle w:val="0"/>
        <w:jc w:val="both"/>
      </w:pPr>
      <w:r>
        <w:rPr>
          <w:sz w:val="24"/>
        </w:rPr>
        <w:t xml:space="preserve">(в ред. </w:t>
      </w:r>
      <w:hyperlink w:history="0" r:id="rId117"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Приказа</w:t>
        </w:r>
      </w:hyperlink>
      <w:r>
        <w:rPr>
          <w:sz w:val="24"/>
        </w:rPr>
        <w:t xml:space="preserve"> Минэнерго России от 06.12.2022 N 1286)</w:t>
      </w:r>
    </w:p>
    <w:bookmarkStart w:id="383" w:name="P383"/>
    <w:bookmarkEnd w:id="383"/>
    <w:p>
      <w:pPr>
        <w:pStyle w:val="0"/>
        <w:spacing w:before="240" w:lineRule="auto"/>
        <w:ind w:firstLine="540"/>
        <w:jc w:val="both"/>
      </w:pPr>
      <w:r>
        <w:rPr>
          <w:sz w:val="24"/>
        </w:rPr>
        <w:t xml:space="preserve">6. При разработке схемы внешнего электроснабжения для рекомендуемого варианта должны быть выполнены расчеты статической устойчивости в электрической сети энергорайона для нормальной и основных ремонтных схем, а также нормативных возмущений в указанных схемах в соответствии с требованиями Методических </w:t>
      </w:r>
      <w:hyperlink w:history="0" r:id="rId118"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указаний</w:t>
        </w:r>
      </w:hyperlink>
      <w:r>
        <w:rPr>
          <w:sz w:val="24"/>
        </w:rPr>
        <w:t xml:space="preserve"> по устойчивости энергосистем.</w:t>
      </w:r>
    </w:p>
    <w:p>
      <w:pPr>
        <w:pStyle w:val="0"/>
        <w:spacing w:before="240" w:lineRule="auto"/>
        <w:ind w:firstLine="540"/>
        <w:jc w:val="both"/>
      </w:pPr>
      <w:r>
        <w:rPr>
          <w:sz w:val="24"/>
        </w:rPr>
        <w:t xml:space="preserve">На основании результатов указанных расчетов должны быть определены предварительные величины максимально допустимых перетоков активной мощности в существующих и вновь образуемых контролируемых сечениях, на максимально допустимые перетоки активной мощности в которых оказывают влияние состав и (или) технологический режим работы элементов схемы внешнего электроснабжения.</w:t>
      </w:r>
    </w:p>
    <w:p>
      <w:pPr>
        <w:pStyle w:val="0"/>
        <w:spacing w:before="240" w:lineRule="auto"/>
        <w:ind w:firstLine="540"/>
        <w:jc w:val="both"/>
      </w:pPr>
      <w:r>
        <w:rPr>
          <w:sz w:val="24"/>
        </w:rPr>
        <w:t xml:space="preserve">7. В случае если результаты расчетов статической устойчивости в электрической сети энергорайона для рекомендуемого варианта не удовлетворяют требованиям Методических </w:t>
      </w:r>
      <w:hyperlink w:history="0" r:id="rId119"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указаний</w:t>
        </w:r>
      </w:hyperlink>
      <w:r>
        <w:rPr>
          <w:sz w:val="24"/>
        </w:rPr>
        <w:t xml:space="preserve"> по устойчивости энергосистем и Методических указаний по проектированию развития энергосистем, либо выявлена необходимость увеличения максимально допустимого перетока активной мощности в контролируемых сечениях, должны быть разработаны мероприятия по обеспечению статической устойчивости в электрической сети энергорайона (усиление электрической сети, установка и (или) модернизация устройств (комплексов) ПА с определением принципов действия, необходимых видов, объемов и дискретности управляющих воздействий ПА) для каждого этапа технологического присоединения энергопринимающих устройств и на перспективу 5 лет.</w:t>
      </w:r>
    </w:p>
    <w:p>
      <w:pPr>
        <w:pStyle w:val="0"/>
        <w:jc w:val="both"/>
      </w:pPr>
      <w:r>
        <w:rPr>
          <w:sz w:val="24"/>
        </w:rPr>
        <w:t xml:space="preserve">(в ред. </w:t>
      </w:r>
      <w:hyperlink w:history="0" r:id="rId120"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Приказа</w:t>
        </w:r>
      </w:hyperlink>
      <w:r>
        <w:rPr>
          <w:sz w:val="24"/>
        </w:rPr>
        <w:t xml:space="preserve"> Минэнерго России от 06.12.2022 N 1286)</w:t>
      </w:r>
    </w:p>
    <w:bookmarkStart w:id="387" w:name="P387"/>
    <w:bookmarkEnd w:id="387"/>
    <w:p>
      <w:pPr>
        <w:pStyle w:val="0"/>
        <w:spacing w:before="240" w:lineRule="auto"/>
        <w:ind w:firstLine="540"/>
        <w:jc w:val="both"/>
      </w:pPr>
      <w:r>
        <w:rPr>
          <w:sz w:val="24"/>
        </w:rPr>
        <w:t xml:space="preserve">8. При разработке схемы внешнего электроснабжения для рекомендуемого варианта должны быть проведены расчеты токов короткого замыкания в электрической сети напряжением (6 - 35) 110 кВ и выше энергорайона для каждого этапа технологического присоединения энергопринимающих устройств и на перспективу 5 лет и выполнена оценка соответствия оборудования токам короткого замыкания на объектах электроэнергетики классом напряжения (6 - 35) 110 кВ и выше энергорайона. Результаты расчетов должны быть представлены в табличной и графической форме.</w:t>
      </w:r>
    </w:p>
    <w:p>
      <w:pPr>
        <w:pStyle w:val="0"/>
        <w:spacing w:before="240" w:lineRule="auto"/>
        <w:ind w:firstLine="540"/>
        <w:jc w:val="both"/>
      </w:pPr>
      <w:r>
        <w:rPr>
          <w:sz w:val="24"/>
        </w:rPr>
        <w:t xml:space="preserve">По результатам расчетов должны быть определены требования к оборудованию объектов электросетевого хозяйства и энергопринимающих устройств заявителя и технические решения по замене оборудования на других объектах электроэнергетики энергорайона и (или) разработаны мероприятия по ограничению токов короткого замыкания.</w:t>
      </w:r>
    </w:p>
    <w:p>
      <w:pPr>
        <w:pStyle w:val="0"/>
        <w:spacing w:before="240" w:lineRule="auto"/>
        <w:ind w:firstLine="540"/>
        <w:jc w:val="both"/>
      </w:pPr>
      <w:r>
        <w:rPr>
          <w:sz w:val="24"/>
        </w:rPr>
        <w:t xml:space="preserve">9. Указанные в </w:t>
      </w:r>
      <w:hyperlink w:history="0" w:anchor="P376" w:tooltip="4. Для определения основных технических решений по схеме внешнего электроснабжения должны быть проведены расчеты электроэнергетических режимов для нормальной и основных ремонтных схем, а также нормативных возмущений в указанных схемах в соответствии с требованиями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утвержденными приказом Минэнерго России от 3 августа...">
        <w:r>
          <w:rPr>
            <w:sz w:val="24"/>
            <w:color w:val="0000ff"/>
          </w:rPr>
          <w:t xml:space="preserve">пунктах 4</w:t>
        </w:r>
      </w:hyperlink>
      <w:r>
        <w:rPr>
          <w:sz w:val="24"/>
        </w:rPr>
        <w:t xml:space="preserve">, </w:t>
      </w:r>
      <w:hyperlink w:history="0" w:anchor="P383" w:tooltip="6. При разработке схемы внешнего электроснабжения для рекомендуемого варианта должны быть выполнены расчеты статической устойчивости в электрической сети энергорайона для нормальной и основных ремонтных схем, а также нормативных возмущений в указанных схемах в соответствии с требованиями Методических указаний по устойчивости энергосистем.">
        <w:r>
          <w:rPr>
            <w:sz w:val="24"/>
            <w:color w:val="0000ff"/>
          </w:rPr>
          <w:t xml:space="preserve">6</w:t>
        </w:r>
      </w:hyperlink>
      <w:r>
        <w:rPr>
          <w:sz w:val="24"/>
        </w:rPr>
        <w:t xml:space="preserve"> и </w:t>
      </w:r>
      <w:hyperlink w:history="0" w:anchor="P387" w:tooltip="8. При разработке схемы внешнего электроснабжения для рекомендуемого варианта должны быть проведены расчеты токов короткого замыкания в электрической сети напряжением (6 - 35) 110 кВ и выше энергорайона для каждого этапа технологического присоединения энергопринимающих устройств и на перспективу 5 лет и выполнена оценка соответствия оборудования токам короткого замыкания на объектах электроэнергетики классом напряжения (6 - 35) 110 кВ и выше энергорайона. Результаты расчетов должны быть представлены в та...">
        <w:r>
          <w:rPr>
            <w:sz w:val="24"/>
            <w:color w:val="0000ff"/>
          </w:rPr>
          <w:t xml:space="preserve">8</w:t>
        </w:r>
      </w:hyperlink>
      <w:r>
        <w:rPr>
          <w:sz w:val="24"/>
        </w:rPr>
        <w:t xml:space="preserve"> настоящего приложения расчеты электроэнергетических режимов, статической устойчивости и токов короткого замыкания должны проводиться для каждого этапа технологического присоединения энергопринимающих устройств и на перспективу 5 лет.</w:t>
      </w:r>
    </w:p>
    <w:p>
      <w:pPr>
        <w:pStyle w:val="0"/>
        <w:spacing w:before="240" w:lineRule="auto"/>
        <w:ind w:firstLine="540"/>
        <w:jc w:val="both"/>
      </w:pPr>
      <w:r>
        <w:rPr>
          <w:sz w:val="24"/>
        </w:rPr>
        <w:t xml:space="preserve">10. При разработке схемы внешнего электроснабжения для рекомендуемого варианта должен быть выполнен анализ уровней напряжения в точке присоединения энергопринимающих устройств заявителя и в прилегающей электрической сети напряжением (6 - 35) 110 кВ и выше энергорайона для каждого этапа технологического присоединения энергопринимающих устройств и определены технические решения по установке необходимых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w:t>
      </w:r>
    </w:p>
    <w:p>
      <w:pPr>
        <w:pStyle w:val="0"/>
        <w:spacing w:before="240" w:lineRule="auto"/>
        <w:ind w:firstLine="540"/>
        <w:jc w:val="both"/>
      </w:pPr>
      <w:r>
        <w:rPr>
          <w:sz w:val="24"/>
        </w:rPr>
        <w:t xml:space="preserve">При разработке схемы внешнего электроснабжения для энергопринимающих устройств заявителя, функционирование которых может оказать влияние на качество электрической энергии в части несинусоидальности напряжения, несимметрии напряжений и (или) колебаний напряжения, также должен быть выполнен анализ их влияния на указанные показатели качества электрической энергии в точке присоединения и в прилегающей электрической сети и разработаны мероприятия по предотвращению нарушения требований к качеству электрической энергии.</w:t>
      </w:r>
    </w:p>
    <w:p>
      <w:pPr>
        <w:pStyle w:val="0"/>
        <w:jc w:val="both"/>
      </w:pPr>
      <w:r>
        <w:rPr>
          <w:sz w:val="24"/>
        </w:rPr>
        <w:t xml:space="preserve">(абзац введен </w:t>
      </w:r>
      <w:hyperlink w:history="0" r:id="rId121" w:tooltip="Приказ Минэнерго России от 28.04.2023 N 289 &quot;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е приказом Минэнерго России от 28 декабря 2020 г. N 1195&quot; (Зарегистрировано в Минюсте России 23.06.2023 N 73959) {КонсультантПлюс}">
        <w:r>
          <w:rPr>
            <w:sz w:val="24"/>
            <w:color w:val="0000ff"/>
          </w:rPr>
          <w:t xml:space="preserve">Приказом</w:t>
        </w:r>
      </w:hyperlink>
      <w:r>
        <w:rPr>
          <w:sz w:val="24"/>
        </w:rPr>
        <w:t xml:space="preserve"> Минэнерго России от 28.04.2023 N 289)</w:t>
      </w:r>
    </w:p>
    <w:p>
      <w:pPr>
        <w:pStyle w:val="0"/>
        <w:spacing w:before="240" w:lineRule="auto"/>
        <w:ind w:firstLine="540"/>
        <w:jc w:val="both"/>
      </w:pPr>
      <w:r>
        <w:rPr>
          <w:sz w:val="24"/>
        </w:rPr>
        <w:t xml:space="preserve">11. При разработке схемы внешнего электроснабжения должен быть выполнен анализ существующих устройств и комплексов РЗА и каналов связи для функционирования РЗА в энергорайоне, а также на объекте заявителя (в случае разработки схемы внешнего электроснабжения для существующих энергопринимающих устройств заявителя).</w:t>
      </w:r>
    </w:p>
    <w:p>
      <w:pPr>
        <w:pStyle w:val="0"/>
        <w:jc w:val="both"/>
      </w:pPr>
      <w:r>
        <w:rPr>
          <w:sz w:val="24"/>
        </w:rPr>
        <w:t xml:space="preserve">(в ред. </w:t>
      </w:r>
      <w:hyperlink w:history="0" r:id="rId122"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Для рекомендуемого варианта должны быть определены основные технические решения по оснащению электрической сети, объектов электросетевого хозяйства и энергопринимающих устройств заявителя комплексами и устройствами РЗА и каналами связи для функционирования РЗА (включая функциональные схемы таких комплексов и устройств РЗА и схемы организации каналов связи для функционирования РЗА, учитывающие схемы их размещения), подключению энергопринимающих устройств заявителя под действие устройств (комплексов) ПА в соответствии с требованиями:</w:t>
      </w:r>
    </w:p>
    <w:p>
      <w:pPr>
        <w:pStyle w:val="0"/>
        <w:jc w:val="both"/>
      </w:pPr>
      <w:r>
        <w:rPr>
          <w:sz w:val="24"/>
        </w:rPr>
        <w:t xml:space="preserve">(в ред. </w:t>
      </w:r>
      <w:hyperlink w:history="0" r:id="rId123"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hyperlink w:history="0" r:id="rId124"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утвержденных постановлением Правительства Российской Федерации от 13 августа 2018 г. N 937;</w:t>
      </w:r>
    </w:p>
    <w:p>
      <w:pPr>
        <w:pStyle w:val="0"/>
        <w:spacing w:before="240" w:lineRule="auto"/>
        <w:ind w:firstLine="540"/>
        <w:jc w:val="both"/>
      </w:pPr>
      <w:r>
        <w:rPr>
          <w:sz w:val="24"/>
        </w:rPr>
        <w:t xml:space="preserve">нормативных правовых актов Минэнерго России, утвержденных в соответствии с </w:t>
      </w:r>
      <w:hyperlink w:history="0" r:id="rId12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p>
    <w:p>
      <w:pPr>
        <w:pStyle w:val="0"/>
        <w:spacing w:before="240" w:lineRule="auto"/>
        <w:ind w:firstLine="540"/>
        <w:jc w:val="both"/>
      </w:pPr>
      <w:hyperlink w:history="0" r:id="rId126"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Правил</w:t>
        </w:r>
      </w:hyperlink>
      <w:r>
        <w:rPr>
          <w:sz w:val="24"/>
        </w:rPr>
        <w:t xml:space="preserve">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(Собрание законодательства Российской Федерации, 2012, N 23, ст. 3008; 2020, N 36, ст. 5617).</w:t>
      </w:r>
    </w:p>
    <w:p>
      <w:pPr>
        <w:pStyle w:val="0"/>
        <w:spacing w:before="240" w:lineRule="auto"/>
        <w:ind w:firstLine="540"/>
        <w:jc w:val="both"/>
      </w:pPr>
      <w:hyperlink w:history="0" r:id="rId127" w:tooltip="Приказ Минэнерго России от 06.06.2013 N 290 (ред. от 09.12.2024) &quot;Об утверждении Правил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quot; (Зарегистрировано в Минюсте России 09.08.2013 N 29348) {КонсультантПлюс}">
        <w:r>
          <w:rPr>
            <w:sz w:val="24"/>
            <w:color w:val="0000ff"/>
          </w:rPr>
          <w:t xml:space="preserve">Правил</w:t>
        </w:r>
      </w:hyperlink>
      <w:r>
        <w:rPr>
          <w:sz w:val="24"/>
        </w:rP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утвержденных приказом Минэнерго России от 6 июня 2013 г. N 290 (зарегистрирован Минюстом России 9 августа 2013 г., регистрационный N 29348), с изменениями, внесенными приказом Минэнерго России от 18 октября 2018 г. N 898 (зарегистрирован Минюстом России 14 ноября 2018 г., регистрационный N 52677).</w:t>
      </w:r>
    </w:p>
    <w:p>
      <w:pPr>
        <w:pStyle w:val="0"/>
        <w:spacing w:before="240" w:lineRule="auto"/>
        <w:ind w:firstLine="540"/>
        <w:jc w:val="both"/>
      </w:pPr>
      <w:r>
        <w:rPr>
          <w:sz w:val="24"/>
        </w:rPr>
        <w:t xml:space="preserve">12. При разработке схемы внешнего электроснабжения для рекомендуемого варианта должна быть:</w:t>
      </w:r>
    </w:p>
    <w:p>
      <w:pPr>
        <w:pStyle w:val="0"/>
        <w:spacing w:before="240" w:lineRule="auto"/>
        <w:ind w:firstLine="540"/>
        <w:jc w:val="both"/>
      </w:pPr>
      <w:r>
        <w:rPr>
          <w:sz w:val="24"/>
        </w:rPr>
        <w:t xml:space="preserve">разработана карта-схема электрической сети энергорайона;</w:t>
      </w:r>
    </w:p>
    <w:p>
      <w:pPr>
        <w:pStyle w:val="0"/>
        <w:spacing w:before="240" w:lineRule="auto"/>
        <w:ind w:firstLine="540"/>
        <w:jc w:val="both"/>
      </w:pPr>
      <w:r>
        <w:rPr>
          <w:sz w:val="24"/>
        </w:rPr>
        <w:t xml:space="preserve">проведена предварительная проработка вариантов размещения объектов электросетевого хозяйства, в том числе прохождения трасс ЛЭП;</w:t>
      </w:r>
    </w:p>
    <w:p>
      <w:pPr>
        <w:pStyle w:val="0"/>
        <w:spacing w:before="240" w:lineRule="auto"/>
        <w:ind w:firstLine="540"/>
        <w:jc w:val="both"/>
      </w:pPr>
      <w:r>
        <w:rPr>
          <w:sz w:val="24"/>
        </w:rPr>
        <w:t xml:space="preserve">проведена предварительная оценка капитальных затрат на реализацию технических решений по внешнему электроснабжению энергопринимающих устройств, включая ориентировочные затраты на реализацию технических решений по оснащению электрической сети, объектов электросетевого хозяйства и энергопринимающих устройств заявителя комплексами и устройствами РЗА, с разделением затрат на реализацию технических мероприятий по объектам электроэнергетики, необходимость реализации технических мероприятий на которых предусмотрена рекомендуемым вариантом.</w:t>
      </w:r>
    </w:p>
    <w:p>
      <w:pPr>
        <w:pStyle w:val="0"/>
        <w:jc w:val="both"/>
      </w:pPr>
      <w:r>
        <w:rPr>
          <w:sz w:val="24"/>
        </w:rPr>
        <w:t xml:space="preserve">(в ред. </w:t>
      </w:r>
      <w:hyperlink w:history="0" r:id="rId128"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Приказа</w:t>
        </w:r>
      </w:hyperlink>
      <w:r>
        <w:rPr>
          <w:sz w:val="24"/>
        </w:rPr>
        <w:t xml:space="preserve"> Минэнерго России от 17.02.2023 N 82)</w:t>
      </w:r>
    </w:p>
    <w:p>
      <w:pPr>
        <w:pStyle w:val="0"/>
        <w:spacing w:before="240" w:lineRule="auto"/>
        <w:ind w:firstLine="540"/>
        <w:jc w:val="both"/>
      </w:pPr>
      <w:r>
        <w:rPr>
          <w:sz w:val="24"/>
        </w:rPr>
        <w:t xml:space="preserve">Абзац утратил силу. - </w:t>
      </w:r>
      <w:hyperlink w:history="0" r:id="rId129"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Приказ</w:t>
        </w:r>
      </w:hyperlink>
      <w:r>
        <w:rPr>
          <w:sz w:val="24"/>
        </w:rPr>
        <w:t xml:space="preserve"> Минэнерго России от 17.02.2023 N 82.</w:t>
      </w:r>
    </w:p>
    <w:p>
      <w:pPr>
        <w:pStyle w:val="0"/>
        <w:spacing w:before="240" w:lineRule="auto"/>
        <w:ind w:firstLine="540"/>
        <w:jc w:val="both"/>
      </w:pPr>
      <w:r>
        <w:rPr>
          <w:sz w:val="24"/>
        </w:rPr>
        <w:t xml:space="preserve">13. При технико-экономическом сравнении вариантов внешнего электроснабжения в соответствии с </w:t>
      </w:r>
      <w:hyperlink w:history="0" w:anchor="P380" w:tooltip="5. На основании результатов расчетов и технико-экономического сравнения вариантов должен быть определен рекомендуемый вариант технических решений по внешнему электроснабжению энергопринимающих устройств заявителя (далее - рекомендуемый вариант).">
        <w:r>
          <w:rPr>
            <w:sz w:val="24"/>
            <w:color w:val="0000ff"/>
          </w:rPr>
          <w:t xml:space="preserve">пунктом 5</w:t>
        </w:r>
      </w:hyperlink>
      <w:r>
        <w:rPr>
          <w:sz w:val="24"/>
        </w:rPr>
        <w:t xml:space="preserve"> настоящего приложения и предварительной оценке капитальных затрат на реализацию технических мероприятий по строительству (реконструкции, модернизации) электрических сетей, в том числе технических решений, планируемых к реализации на объектах смежных сетевых организаций, для рекомендуемого варианта затраты на реализацию мероприятий на объектах электросетевого хозяйства должны определяться с учетом укрупненных </w:t>
      </w:r>
      <w:hyperlink w:history="0" r:id="rId130" w:tooltip="Приказ Минэнерго России от 17.01.2019 N 10 &quot;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quot; (Зарегистрировано в Минюсте России 07.02.2019 N 53709) ------------ Утратил силу или отменен {КонсультантПлюс}">
        <w:r>
          <w:rPr>
            <w:sz w:val="24"/>
            <w:color w:val="0000ff"/>
          </w:rPr>
          <w:t xml:space="preserve">нормативов</w:t>
        </w:r>
      </w:hyperlink>
      <w:r>
        <w:rPr>
          <w:sz w:val="24"/>
        </w:rPr>
        <w:t xml:space="preserve"> цены типовых технологических решений, утвержденных приказом Минэнерго России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 (зарегистрирован Минюстом России 7 февраля 2019 г., регистрационный N 53709).</w:t>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разработки</w:t>
      </w:r>
    </w:p>
    <w:p>
      <w:pPr>
        <w:pStyle w:val="0"/>
        <w:jc w:val="right"/>
      </w:pPr>
      <w:r>
        <w:rPr>
          <w:sz w:val="24"/>
        </w:rPr>
        <w:t xml:space="preserve">и согласования схем выдачи мощности</w:t>
      </w:r>
    </w:p>
    <w:p>
      <w:pPr>
        <w:pStyle w:val="0"/>
        <w:jc w:val="right"/>
      </w:pPr>
      <w:r>
        <w:rPr>
          <w:sz w:val="24"/>
        </w:rPr>
        <w:t xml:space="preserve">объектов по производству электрической</w:t>
      </w:r>
    </w:p>
    <w:p>
      <w:pPr>
        <w:pStyle w:val="0"/>
        <w:jc w:val="right"/>
      </w:pPr>
      <w:r>
        <w:rPr>
          <w:sz w:val="24"/>
        </w:rPr>
        <w:t xml:space="preserve">энергии и схем внешнего электроснабжения</w:t>
      </w:r>
    </w:p>
    <w:p>
      <w:pPr>
        <w:pStyle w:val="0"/>
        <w:jc w:val="right"/>
      </w:pPr>
      <w:r>
        <w:rPr>
          <w:sz w:val="24"/>
        </w:rPr>
        <w:t xml:space="preserve">энергопринимающих устройств потребителей</w:t>
      </w:r>
    </w:p>
    <w:p>
      <w:pPr>
        <w:pStyle w:val="0"/>
        <w:jc w:val="right"/>
      </w:pPr>
      <w:r>
        <w:rPr>
          <w:sz w:val="24"/>
        </w:rPr>
        <w:t xml:space="preserve">электрической энергии, утвержденным</w:t>
      </w:r>
    </w:p>
    <w:p>
      <w:pPr>
        <w:pStyle w:val="0"/>
        <w:jc w:val="right"/>
      </w:pPr>
      <w:r>
        <w:rPr>
          <w:sz w:val="24"/>
        </w:rPr>
        <w:t xml:space="preserve">приказом Минэнерго России</w:t>
      </w:r>
    </w:p>
    <w:p>
      <w:pPr>
        <w:pStyle w:val="0"/>
        <w:jc w:val="right"/>
      </w:pPr>
      <w:r>
        <w:rPr>
          <w:sz w:val="24"/>
        </w:rPr>
        <w:t xml:space="preserve">от 28.12.2020 N 1195</w:t>
      </w:r>
    </w:p>
    <w:p>
      <w:pPr>
        <w:pStyle w:val="0"/>
        <w:jc w:val="both"/>
      </w:pPr>
      <w:r>
        <w:rPr>
          <w:sz w:val="24"/>
        </w:rPr>
      </w:r>
    </w:p>
    <w:p>
      <w:pPr>
        <w:pStyle w:val="2"/>
        <w:jc w:val="center"/>
      </w:pPr>
      <w:r>
        <w:rPr>
          <w:sz w:val="24"/>
        </w:rPr>
        <w:t xml:space="preserve">ТРЕБОВАНИЯ</w:t>
      </w:r>
    </w:p>
    <w:p>
      <w:pPr>
        <w:pStyle w:val="2"/>
        <w:jc w:val="center"/>
      </w:pPr>
      <w:r>
        <w:rPr>
          <w:sz w:val="24"/>
        </w:rPr>
        <w:t xml:space="preserve">К ТЕХНИЧЕСКИМ РЕШЕНИЯМ ПО ВЫДАЧЕ МОЩНОСТИ ОБЪЕКТА</w:t>
      </w:r>
    </w:p>
    <w:p>
      <w:pPr>
        <w:pStyle w:val="2"/>
        <w:jc w:val="center"/>
      </w:pPr>
      <w:r>
        <w:rPr>
          <w:sz w:val="24"/>
        </w:rPr>
        <w:t xml:space="preserve">ПО ПРОИЗВОДСТВУ ЭЛЕКТРИЧЕСКОЙ ЭНЕРГИИ</w:t>
      </w:r>
    </w:p>
    <w:p>
      <w:pPr>
        <w:pStyle w:val="0"/>
        <w:jc w:val="both"/>
      </w:pPr>
      <w:r>
        <w:rPr>
          <w:sz w:val="24"/>
        </w:rPr>
      </w:r>
    </w:p>
    <w:p>
      <w:pPr>
        <w:pStyle w:val="0"/>
        <w:ind w:firstLine="540"/>
        <w:jc w:val="both"/>
      </w:pPr>
      <w:r>
        <w:rPr>
          <w:sz w:val="24"/>
        </w:rPr>
        <w:t xml:space="preserve">Утратили силу. - </w:t>
      </w:r>
      <w:hyperlink w:history="0" r:id="rId131"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w:t>
        </w:r>
      </w:hyperlink>
      <w:r>
        <w:rPr>
          <w:sz w:val="24"/>
        </w:rPr>
        <w:t xml:space="preserve"> Минэнерго России от 06.12.2022 N 1286.</w:t>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 разработки</w:t>
      </w:r>
    </w:p>
    <w:p>
      <w:pPr>
        <w:pStyle w:val="0"/>
        <w:jc w:val="right"/>
      </w:pPr>
      <w:r>
        <w:rPr>
          <w:sz w:val="24"/>
        </w:rPr>
        <w:t xml:space="preserve">и согласования схем выдачи мощности</w:t>
      </w:r>
    </w:p>
    <w:p>
      <w:pPr>
        <w:pStyle w:val="0"/>
        <w:jc w:val="right"/>
      </w:pPr>
      <w:r>
        <w:rPr>
          <w:sz w:val="24"/>
        </w:rPr>
        <w:t xml:space="preserve">объектов по производству электрической</w:t>
      </w:r>
    </w:p>
    <w:p>
      <w:pPr>
        <w:pStyle w:val="0"/>
        <w:jc w:val="right"/>
      </w:pPr>
      <w:r>
        <w:rPr>
          <w:sz w:val="24"/>
        </w:rPr>
        <w:t xml:space="preserve">энергии и схем внешнего электроснабжения</w:t>
      </w:r>
    </w:p>
    <w:p>
      <w:pPr>
        <w:pStyle w:val="0"/>
        <w:jc w:val="right"/>
      </w:pPr>
      <w:r>
        <w:rPr>
          <w:sz w:val="24"/>
        </w:rPr>
        <w:t xml:space="preserve">энергопринимающих устройств потребителей</w:t>
      </w:r>
    </w:p>
    <w:p>
      <w:pPr>
        <w:pStyle w:val="0"/>
        <w:jc w:val="right"/>
      </w:pPr>
      <w:r>
        <w:rPr>
          <w:sz w:val="24"/>
        </w:rPr>
        <w:t xml:space="preserve">электрической энергии, утвержденным</w:t>
      </w:r>
    </w:p>
    <w:p>
      <w:pPr>
        <w:pStyle w:val="0"/>
        <w:jc w:val="right"/>
      </w:pPr>
      <w:r>
        <w:rPr>
          <w:sz w:val="24"/>
        </w:rPr>
        <w:t xml:space="preserve">приказом Минэнерго России</w:t>
      </w:r>
    </w:p>
    <w:p>
      <w:pPr>
        <w:pStyle w:val="0"/>
        <w:jc w:val="right"/>
      </w:pPr>
      <w:r>
        <w:rPr>
          <w:sz w:val="24"/>
        </w:rPr>
        <w:t xml:space="preserve">от 28.12.2020 N 1195</w:t>
      </w:r>
    </w:p>
    <w:p>
      <w:pPr>
        <w:pStyle w:val="0"/>
        <w:jc w:val="both"/>
      </w:pPr>
      <w:r>
        <w:rPr>
          <w:sz w:val="24"/>
        </w:rPr>
      </w:r>
    </w:p>
    <w:p>
      <w:pPr>
        <w:pStyle w:val="2"/>
        <w:jc w:val="center"/>
      </w:pPr>
      <w:r>
        <w:rPr>
          <w:sz w:val="24"/>
        </w:rPr>
        <w:t xml:space="preserve">ТРЕБОВАНИЯ</w:t>
      </w:r>
    </w:p>
    <w:p>
      <w:pPr>
        <w:pStyle w:val="2"/>
        <w:jc w:val="center"/>
      </w:pPr>
      <w:r>
        <w:rPr>
          <w:sz w:val="24"/>
        </w:rPr>
        <w:t xml:space="preserve">К ТЕХНИЧЕСКИМ РЕШЕНИЯМ ПО ВНЕШНЕМУ ЭЛЕКТРОСНАБЖЕНИЮ</w:t>
      </w:r>
    </w:p>
    <w:p>
      <w:pPr>
        <w:pStyle w:val="2"/>
        <w:jc w:val="center"/>
      </w:pPr>
      <w:r>
        <w:rPr>
          <w:sz w:val="24"/>
        </w:rPr>
        <w:t xml:space="preserve">ЭНЕРГОПРИНИМАЮЩИХ УСТРОЙСТВ ПОТРЕБИТЕЛЕЙ</w:t>
      </w:r>
    </w:p>
    <w:p>
      <w:pPr>
        <w:pStyle w:val="2"/>
        <w:jc w:val="center"/>
      </w:pPr>
      <w:r>
        <w:rPr>
          <w:sz w:val="24"/>
        </w:rPr>
        <w:t xml:space="preserve">ЭЛЕКТРИЧЕСКОЙ ЭНЕРГИИ</w:t>
      </w:r>
    </w:p>
    <w:p>
      <w:pPr>
        <w:pStyle w:val="0"/>
        <w:jc w:val="both"/>
      </w:pPr>
      <w:r>
        <w:rPr>
          <w:sz w:val="24"/>
        </w:rPr>
      </w:r>
    </w:p>
    <w:p>
      <w:pPr>
        <w:pStyle w:val="0"/>
        <w:ind w:firstLine="540"/>
        <w:jc w:val="both"/>
      </w:pPr>
      <w:r>
        <w:rPr>
          <w:sz w:val="24"/>
        </w:rPr>
        <w:t xml:space="preserve">Утратили силу. - </w:t>
      </w:r>
      <w:hyperlink w:history="0" r:id="rId132"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Приказ</w:t>
        </w:r>
      </w:hyperlink>
      <w:r>
        <w:rPr>
          <w:sz w:val="24"/>
        </w:rPr>
        <w:t xml:space="preserve"> Минэнерго России от 06.12.2022 N 1286.</w:t>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w:t>
      </w:r>
    </w:p>
    <w:p>
      <w:pPr>
        <w:pStyle w:val="0"/>
        <w:jc w:val="right"/>
      </w:pPr>
      <w:r>
        <w:rPr>
          <w:sz w:val="24"/>
        </w:rPr>
        <w:t xml:space="preserve">к приказу Минэнерго России</w:t>
      </w:r>
    </w:p>
    <w:p>
      <w:pPr>
        <w:pStyle w:val="0"/>
        <w:jc w:val="right"/>
      </w:pPr>
      <w:r>
        <w:rPr>
          <w:sz w:val="24"/>
        </w:rPr>
        <w:t xml:space="preserve">от 28.12.2020 N 1195</w:t>
      </w:r>
    </w:p>
    <w:p>
      <w:pPr>
        <w:pStyle w:val="0"/>
        <w:jc w:val="both"/>
      </w:pPr>
      <w:r>
        <w:rPr>
          <w:sz w:val="24"/>
        </w:rPr>
      </w:r>
    </w:p>
    <w:bookmarkStart w:id="452" w:name="P452"/>
    <w:bookmarkEnd w:id="452"/>
    <w:p>
      <w:pPr>
        <w:pStyle w:val="2"/>
        <w:jc w:val="center"/>
      </w:pPr>
      <w:r>
        <w:rPr>
          <w:sz w:val="24"/>
        </w:rPr>
        <w:t xml:space="preserve">ИЗМЕНЕНИЯ,</w:t>
      </w:r>
    </w:p>
    <w:p>
      <w:pPr>
        <w:pStyle w:val="2"/>
        <w:jc w:val="center"/>
      </w:pPr>
      <w:r>
        <w:rPr>
          <w:sz w:val="24"/>
        </w:rPr>
        <w:t xml:space="preserve">КОТОРЫЕ ВНОСЯТСЯ В ПРИКАЗЫ МИНЭНЕРГО РОССИИ</w:t>
      </w:r>
    </w:p>
    <w:p>
      <w:pPr>
        <w:pStyle w:val="2"/>
        <w:jc w:val="center"/>
      </w:pPr>
      <w:r>
        <w:rPr>
          <w:sz w:val="24"/>
        </w:rPr>
        <w:t xml:space="preserve">ОТ 3 АВГУСТА 2018 Г. N 630 "ОБ УТВЕРЖДЕНИИ ТРЕБОВАНИЙ</w:t>
      </w:r>
    </w:p>
    <w:p>
      <w:pPr>
        <w:pStyle w:val="2"/>
        <w:jc w:val="center"/>
      </w:pPr>
      <w:r>
        <w:rPr>
          <w:sz w:val="24"/>
        </w:rPr>
        <w:t xml:space="preserve">К ОБЕСПЕЧЕНИЮ НАДЕЖНОСТИ ЭЛЕКТРОЭНЕРГЕТИЧЕСКИХ СИСТЕМ,</w:t>
      </w:r>
    </w:p>
    <w:p>
      <w:pPr>
        <w:pStyle w:val="2"/>
        <w:jc w:val="center"/>
      </w:pPr>
      <w:r>
        <w:rPr>
          <w:sz w:val="24"/>
        </w:rPr>
        <w:t xml:space="preserve">НАДЕЖНОСТИ И БЕЗОПАСНОСТИ ОБЪЕКТОВ ЭЛЕКТРОЭНЕРГЕТИКИ</w:t>
      </w:r>
    </w:p>
    <w:p>
      <w:pPr>
        <w:pStyle w:val="2"/>
        <w:jc w:val="center"/>
      </w:pPr>
      <w:r>
        <w:rPr>
          <w:sz w:val="24"/>
        </w:rPr>
        <w:t xml:space="preserve">И ЭНЕРГОПРИНИМАЮЩИХ УСТАНОВОК "МЕТОДИЧЕСКИЕ УКАЗАНИЯ</w:t>
      </w:r>
    </w:p>
    <w:p>
      <w:pPr>
        <w:pStyle w:val="2"/>
        <w:jc w:val="center"/>
      </w:pPr>
      <w:r>
        <w:rPr>
          <w:sz w:val="24"/>
        </w:rPr>
        <w:t xml:space="preserve">ПО УСТОЙЧИВОСТИ ЭНЕРГОСИСТЕМ", ОТ 8 ФЕВРАЛЯ 2019 Г. N 81</w:t>
      </w:r>
    </w:p>
    <w:p>
      <w:pPr>
        <w:pStyle w:val="2"/>
        <w:jc w:val="center"/>
      </w:pPr>
      <w:r>
        <w:rPr>
          <w:sz w:val="24"/>
        </w:rPr>
        <w:t xml:space="preserve">"ОБ УТВЕРЖДЕНИИ ТРЕБОВАНИЙ К ПЕРЕГРУЗОЧНОЙ СПОСОБНОСТИ</w:t>
      </w:r>
    </w:p>
    <w:p>
      <w:pPr>
        <w:pStyle w:val="2"/>
        <w:jc w:val="center"/>
      </w:pPr>
      <w:r>
        <w:rPr>
          <w:sz w:val="24"/>
        </w:rPr>
        <w:t xml:space="preserve">ТРАНСФОРМАТОРОВ И АВТОТРАНСФОРМАТОРОВ, УСТАНОВЛЕННЫХ</w:t>
      </w:r>
    </w:p>
    <w:p>
      <w:pPr>
        <w:pStyle w:val="2"/>
        <w:jc w:val="center"/>
      </w:pPr>
      <w:r>
        <w:rPr>
          <w:sz w:val="24"/>
        </w:rPr>
        <w:t xml:space="preserve">НА ОБЪЕКТАХ ЭЛЕКТРОЭНЕРГЕТИКИ, И ЕЕ ПОДДЕРЖАНИЮ</w:t>
      </w:r>
    </w:p>
    <w:p>
      <w:pPr>
        <w:pStyle w:val="2"/>
        <w:jc w:val="center"/>
      </w:pPr>
      <w:r>
        <w:rPr>
          <w:sz w:val="24"/>
        </w:rPr>
        <w:t xml:space="preserve">И О ВНЕСЕНИИ ИЗМЕНЕНИЙ В ПРАВИЛА ТЕХНИЧЕСКОЙ ЭКСПЛУАТАЦИИ</w:t>
      </w:r>
    </w:p>
    <w:p>
      <w:pPr>
        <w:pStyle w:val="2"/>
        <w:jc w:val="center"/>
      </w:pPr>
      <w:r>
        <w:rPr>
          <w:sz w:val="24"/>
        </w:rPr>
        <w:t xml:space="preserve">ЭЛЕКТРИЧЕСКИХ СТАНЦИЙ И СЕТЕЙ РОССИЙСКОЙ ФЕДЕРАЦИИ,</w:t>
      </w:r>
    </w:p>
    <w:p>
      <w:pPr>
        <w:pStyle w:val="2"/>
        <w:jc w:val="center"/>
      </w:pPr>
      <w:r>
        <w:rPr>
          <w:sz w:val="24"/>
        </w:rPr>
        <w:t xml:space="preserve">УТВЕРЖДЕННЫЕ ПРИКАЗОМ МИНЭНЕРГО РОССИИ</w:t>
      </w:r>
    </w:p>
    <w:p>
      <w:pPr>
        <w:pStyle w:val="2"/>
        <w:jc w:val="center"/>
      </w:pPr>
      <w:r>
        <w:rPr>
          <w:sz w:val="24"/>
        </w:rPr>
        <w:t xml:space="preserve">ОТ 19 ИЮНЯ 2003 Г. N 229"</w:t>
      </w:r>
    </w:p>
    <w:p>
      <w:pPr>
        <w:pStyle w:val="0"/>
        <w:jc w:val="both"/>
      </w:pPr>
      <w:r>
        <w:rPr>
          <w:sz w:val="24"/>
        </w:rPr>
      </w:r>
    </w:p>
    <w:p>
      <w:pPr>
        <w:pStyle w:val="0"/>
        <w:ind w:firstLine="540"/>
        <w:jc w:val="both"/>
      </w:pPr>
      <w:r>
        <w:rPr>
          <w:sz w:val="24"/>
        </w:rPr>
        <w:t xml:space="preserve">1. </w:t>
      </w:r>
      <w:hyperlink w:history="0" r:id="rId133"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Приказ</w:t>
        </w:r>
      </w:hyperlink>
      <w:r>
        <w:rPr>
          <w:sz w:val="24"/>
        </w:rPr>
        <w:t xml:space="preserve"> Минэнерго России от 3 августа 2018 г. N 630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(зарегистрирован Минюстом России 29 августа 2018 г., регистрационный N 52023) дополнить пунктом следующего содержания:</w:t>
      </w:r>
    </w:p>
    <w:p>
      <w:pPr>
        <w:pStyle w:val="0"/>
        <w:spacing w:before="240" w:lineRule="auto"/>
        <w:ind w:firstLine="540"/>
        <w:jc w:val="both"/>
      </w:pPr>
      <w:r>
        <w:rPr>
          <w:sz w:val="24"/>
        </w:rPr>
        <w:t xml:space="preserve">"3. Настоящий приказ действует до 31 августа 2027 г.".</w:t>
      </w:r>
    </w:p>
    <w:p>
      <w:pPr>
        <w:pStyle w:val="0"/>
        <w:spacing w:before="240" w:lineRule="auto"/>
        <w:ind w:firstLine="540"/>
        <w:jc w:val="both"/>
      </w:pPr>
      <w:r>
        <w:rPr>
          <w:sz w:val="24"/>
        </w:rPr>
        <w:t xml:space="preserve">2. В </w:t>
      </w:r>
      <w:hyperlink w:history="0" r:id="rId134"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требованиях</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утвержденных приказом Минэнерго России от 3 августа 2018 г. N 630 (зарегистрирован Минюстом России 29 августа 2018 г., регистрационный N 52023):</w:t>
      </w:r>
    </w:p>
    <w:p>
      <w:pPr>
        <w:pStyle w:val="0"/>
        <w:spacing w:before="240" w:lineRule="auto"/>
        <w:ind w:firstLine="540"/>
        <w:jc w:val="both"/>
      </w:pPr>
      <w:r>
        <w:rPr>
          <w:sz w:val="24"/>
        </w:rPr>
        <w:t xml:space="preserve">а) </w:t>
      </w:r>
      <w:hyperlink w:history="0" r:id="rId135"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пункт 14</w:t>
        </w:r>
      </w:hyperlink>
      <w:r>
        <w:rPr>
          <w:sz w:val="24"/>
        </w:rPr>
        <w:t xml:space="preserve"> после слов "(далее - ПА)" дополнить словами "или сетевой автоматики";</w:t>
      </w:r>
    </w:p>
    <w:p>
      <w:pPr>
        <w:pStyle w:val="0"/>
        <w:spacing w:before="240" w:lineRule="auto"/>
        <w:ind w:firstLine="540"/>
        <w:jc w:val="both"/>
      </w:pPr>
      <w:r>
        <w:rPr>
          <w:sz w:val="24"/>
        </w:rPr>
        <w:t xml:space="preserve">б) </w:t>
      </w:r>
      <w:hyperlink w:history="0" r:id="rId136"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пункт 31</w:t>
        </w:r>
      </w:hyperlink>
      <w:r>
        <w:rPr>
          <w:sz w:val="24"/>
        </w:rPr>
        <w:t xml:space="preserve"> признать утратившим силу;</w:t>
      </w:r>
    </w:p>
    <w:p>
      <w:pPr>
        <w:pStyle w:val="0"/>
        <w:spacing w:before="240" w:lineRule="auto"/>
        <w:ind w:firstLine="540"/>
        <w:jc w:val="both"/>
      </w:pPr>
      <w:r>
        <w:rPr>
          <w:sz w:val="24"/>
        </w:rPr>
        <w:t xml:space="preserve">в) </w:t>
      </w:r>
      <w:hyperlink w:history="0" r:id="rId137"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подпункт "г" пункта 33</w:t>
        </w:r>
      </w:hyperlink>
      <w:r>
        <w:rPr>
          <w:sz w:val="24"/>
        </w:rPr>
        <w:t xml:space="preserve"> изложить в следующей редакции:</w:t>
      </w:r>
    </w:p>
    <w:p>
      <w:pPr>
        <w:pStyle w:val="0"/>
        <w:spacing w:before="240" w:lineRule="auto"/>
        <w:ind w:firstLine="540"/>
        <w:jc w:val="both"/>
      </w:pPr>
      <w:r>
        <w:rPr>
          <w:sz w:val="24"/>
        </w:rPr>
        <w:t xml:space="preserve">"г) должна обеспечиваться динамическая устойчивость генерирующего оборудования электрических станций после нормативного возмущения.</w:t>
      </w:r>
    </w:p>
    <w:p>
      <w:pPr>
        <w:pStyle w:val="0"/>
        <w:spacing w:before="240" w:lineRule="auto"/>
        <w:ind w:firstLine="540"/>
        <w:jc w:val="both"/>
      </w:pPr>
      <w:r>
        <w:rPr>
          <w:sz w:val="24"/>
        </w:rPr>
        <w:t xml:space="preserve">Значение допустимого перетока активной мощности в контролируемом сечении по данному критерию должно определяться по формуле:</w:t>
      </w:r>
    </w:p>
    <w:p>
      <w:pPr>
        <w:pStyle w:val="0"/>
        <w:jc w:val="both"/>
      </w:pPr>
      <w:r>
        <w:rPr>
          <w:sz w:val="24"/>
        </w:rPr>
      </w:r>
    </w:p>
    <w:p>
      <w:pPr>
        <w:pStyle w:val="0"/>
        <w:jc w:val="center"/>
      </w:pPr>
      <w:r>
        <w:rPr>
          <w:position w:val="-10"/>
        </w:rPr>
        <w:drawing>
          <wp:inline distT="0" distB="0" distL="0" distR="0">
            <wp:extent cx="16802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a:extLst>
                        <a:ext uri="{28A0092B-C50C-407E-A947-70E740481C1C}">
                          <a14:useLocalDpi xmlns:a14="http://schemas.microsoft.com/office/drawing/2010/main" val="0"/>
                        </a:ext>
                      </a:extLst>
                    </a:blip>
                    <a:srcRect/>
                    <a:stretch>
                      <a:fillRect/>
                    </a:stretch>
                  </pic:blipFill>
                  <pic:spPr bwMode="auto">
                    <a:xfrm>
                      <a:off x="0" y="0"/>
                      <a:ext cx="168021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4000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Pr>
          <w:sz w:val="24"/>
        </w:rPr>
        <w:t xml:space="preserve"> - предельный по динамической устойчивости переток активной мощности в контролируемом сечении, определенный с учетом реализации управляющих воздействий устройств (комплексов) ПА, обеспечивающих динамическую устойчивость генерирующего оборудования электрических станций (МВт);";</w:t>
      </w:r>
    </w:p>
    <w:p>
      <w:pPr>
        <w:pStyle w:val="0"/>
        <w:spacing w:before="240" w:lineRule="auto"/>
        <w:ind w:firstLine="540"/>
        <w:jc w:val="both"/>
      </w:pPr>
      <w:r>
        <w:rPr>
          <w:sz w:val="24"/>
        </w:rPr>
        <w:t xml:space="preserve">г) </w:t>
      </w:r>
      <w:hyperlink w:history="0" r:id="rId140"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пункт 38</w:t>
        </w:r>
      </w:hyperlink>
      <w:r>
        <w:rPr>
          <w:sz w:val="24"/>
        </w:rPr>
        <w:t xml:space="preserve"> изложить в следующей редакции:</w:t>
      </w:r>
    </w:p>
    <w:p>
      <w:pPr>
        <w:pStyle w:val="0"/>
        <w:spacing w:before="240" w:lineRule="auto"/>
        <w:ind w:firstLine="540"/>
        <w:jc w:val="both"/>
      </w:pPr>
      <w:r>
        <w:rPr>
          <w:sz w:val="24"/>
        </w:rPr>
        <w:t xml:space="preserve">"38. Если отключение всех связей полного контролируемого сечения или всех связей частичного контролируемого сечения и шунтирующих его связей в результате единичного нормативного возмущения, в том числе сопровождающегося реализацией управляющих воздействий устройств (комплексов) ПА на изменение топологии или деление электрической сети (в том числе вследствие случаев, указанных в подпункте "в" пункта 30 Методических указаний), приводит к отделению на изолированную работу от Единой энергетической системы России дефицитной энергосистемы (энергорайона), для значения максимально допустимого перетока активной мощности в указанном контролируемом сечении, определенного в соответствии с требованиями пункта 34 Методических указаний, увеличенного на величину амплитуды нерегулярных колебаний активной мощности в контролируемом сечении, дополнительно должна быть проведена проверка выполнения следующего критерия:</w:t>
      </w:r>
    </w:p>
    <w:p>
      <w:pPr>
        <w:pStyle w:val="0"/>
        <w:spacing w:before="240" w:lineRule="auto"/>
        <w:ind w:firstLine="540"/>
        <w:jc w:val="both"/>
      </w:pPr>
      <w:r>
        <w:rPr>
          <w:sz w:val="24"/>
        </w:rPr>
        <w:t xml:space="preserve">переток активной мощности в контролируемом сечении в направлении дефицитной энергосистемы (энергорайона), отделение которой на изолированную работу от Единой энергетической системы России происходит в результате отключения связей, указанных в абзаце 1 настоящего пункта, и максимальная располагаемая мощность электростанций на территории которой превышает 70% от максимального потребления активной мощности, не должен превышать величины 40% от потребления активной мощности в указанной энергосистеме (энергорайоне) после действия устройств (комплексов) ПА на отключение нагрузки потребителей (с учетом их эффективности), пусковым фактором которых является отключение связей контролируемого сечения (автоматика предотвращения нарушения устойчивости, дополнительная автоматическая разгрузка) или скорость снижения частоты (дополнительная автоматическая разгрузка), увеличенной на величину объема управляющих воздействий от указанных устройств (комплексов) ПА.";</w:t>
      </w:r>
    </w:p>
    <w:p>
      <w:pPr>
        <w:pStyle w:val="0"/>
        <w:spacing w:before="240" w:lineRule="auto"/>
        <w:ind w:firstLine="540"/>
        <w:jc w:val="both"/>
      </w:pPr>
      <w:r>
        <w:rPr>
          <w:sz w:val="24"/>
        </w:rPr>
        <w:t xml:space="preserve">д) в </w:t>
      </w:r>
      <w:hyperlink w:history="0" r:id="rId141"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абзаце первом</w:t>
        </w:r>
      </w:hyperlink>
      <w:r>
        <w:rPr>
          <w:sz w:val="24"/>
        </w:rPr>
        <w:t xml:space="preserve"> и </w:t>
      </w:r>
      <w:hyperlink w:history="0" r:id="rId142"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пятом пункта 39</w:t>
        </w:r>
      </w:hyperlink>
      <w:r>
        <w:rPr>
          <w:sz w:val="24"/>
        </w:rPr>
        <w:t xml:space="preserve"> слова "связей контролируемого сечения" заменить словами "связей, указанных в абзаце первом пункта 38 Методических указаний";</w:t>
      </w:r>
    </w:p>
    <w:p>
      <w:pPr>
        <w:pStyle w:val="0"/>
        <w:spacing w:before="240" w:lineRule="auto"/>
        <w:ind w:firstLine="540"/>
        <w:jc w:val="both"/>
      </w:pPr>
      <w:r>
        <w:rPr>
          <w:sz w:val="24"/>
        </w:rPr>
        <w:t xml:space="preserve">е) в </w:t>
      </w:r>
      <w:hyperlink w:history="0" r:id="rId143"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приложении</w:t>
        </w:r>
      </w:hyperlink>
      <w:r>
        <w:rPr>
          <w:sz w:val="24"/>
        </w:rPr>
        <w:t xml:space="preserve">:</w:t>
      </w:r>
    </w:p>
    <w:p>
      <w:pPr>
        <w:pStyle w:val="0"/>
        <w:spacing w:before="240" w:lineRule="auto"/>
        <w:ind w:firstLine="540"/>
        <w:jc w:val="both"/>
      </w:pPr>
      <w:hyperlink w:history="0" r:id="rId144"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пункт 1.6 таблицы 1</w:t>
        </w:r>
      </w:hyperlink>
      <w:r>
        <w:rPr>
          <w:sz w:val="24"/>
        </w:rPr>
        <w:t xml:space="preserve"> изложить в следующей редакции:</w:t>
      </w:r>
    </w:p>
    <w:p>
      <w:pPr>
        <w:pStyle w:val="0"/>
        <w:jc w:val="both"/>
      </w:pPr>
      <w:r>
        <w:rPr>
          <w:sz w:val="24"/>
        </w:rPr>
      </w:r>
    </w:p>
    <w:p>
      <w:pPr>
        <w:pStyle w:val="0"/>
      </w:pPr>
      <w:r>
        <w:rPr>
          <w:sz w:val="24"/>
        </w:rPr>
        <w:t xml:space="preserve">"</w:t>
      </w:r>
    </w:p>
    <w:p>
      <w:pPr>
        <w:spacing w:before="0"/>
        <w:spacing w:after="1"/>
      </w:pP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567"/>
        <w:gridCol w:w="4139"/>
        <w:gridCol w:w="1090"/>
        <w:gridCol w:w="1090"/>
        <w:gridCol w:w="1090"/>
        <w:gridCol w:w="1092"/>
      </w:tblGrid>
      <w:tr>
        <w:tc>
          <w:tcPr>
            <w:tcW w:w="567" w:type="dxa"/>
            <w:tcBorders>
              <w:top w:val="single" w:sz="4"/>
              <w:bottom w:val="single" w:sz="4"/>
            </w:tcBorders>
          </w:tcPr>
          <w:p>
            <w:pPr>
              <w:pStyle w:val="0"/>
              <w:jc w:val="center"/>
            </w:pPr>
            <w:r>
              <w:rPr>
                <w:sz w:val="24"/>
              </w:rPr>
              <w:t xml:space="preserve">1.6</w:t>
            </w:r>
          </w:p>
        </w:tc>
        <w:tc>
          <w:tcPr>
            <w:tcW w:w="4139" w:type="dxa"/>
            <w:vAlign w:val="center"/>
            <w:tcBorders>
              <w:top w:val="single" w:sz="4"/>
              <w:bottom w:val="single" w:sz="4"/>
            </w:tcBorders>
          </w:tcPr>
          <w:p>
            <w:pPr>
              <w:pStyle w:val="0"/>
              <w:jc w:val="both"/>
            </w:pPr>
            <w:r>
              <w:rPr>
                <w:sz w:val="24"/>
              </w:rPr>
              <w:t xml:space="preserve">Отключение в результате нормативного возмущения группы I двух воздушных линий электропередачи (далее - ВЛ) (кабельно-воздушных линий электропередачи (далее - КВЛ)), провода воздушной части которых размещены на одних опорах на протяжении более 50% длины более короткой ВЛ (воздушной части КВЛ)</w:t>
            </w:r>
          </w:p>
        </w:tc>
        <w:tc>
          <w:tcPr>
            <w:tcW w:w="1090" w:type="dxa"/>
            <w:tcBorders>
              <w:top w:val="single" w:sz="4"/>
              <w:bottom w:val="single" w:sz="4"/>
            </w:tcBorders>
          </w:tcPr>
          <w:p>
            <w:pPr>
              <w:pStyle w:val="0"/>
              <w:jc w:val="center"/>
            </w:pPr>
            <w:r>
              <w:rPr>
                <w:sz w:val="24"/>
              </w:rPr>
              <w:t xml:space="preserve">III</w:t>
            </w:r>
          </w:p>
        </w:tc>
        <w:tc>
          <w:tcPr>
            <w:tcW w:w="1090" w:type="dxa"/>
            <w:tcBorders>
              <w:top w:val="single" w:sz="4"/>
              <w:bottom w:val="single" w:sz="4"/>
            </w:tcBorders>
          </w:tcPr>
          <w:p>
            <w:pPr>
              <w:pStyle w:val="0"/>
              <w:jc w:val="center"/>
            </w:pPr>
            <w:r>
              <w:rPr>
                <w:sz w:val="24"/>
              </w:rPr>
              <w:t xml:space="preserve">-</w:t>
            </w:r>
          </w:p>
        </w:tc>
        <w:tc>
          <w:tcPr>
            <w:tcW w:w="1090" w:type="dxa"/>
            <w:tcBorders>
              <w:top w:val="single" w:sz="4"/>
              <w:bottom w:val="single" w:sz="4"/>
            </w:tcBorders>
          </w:tcPr>
          <w:p>
            <w:pPr>
              <w:pStyle w:val="0"/>
              <w:jc w:val="center"/>
            </w:pPr>
            <w:r>
              <w:rPr>
                <w:sz w:val="24"/>
              </w:rPr>
              <w:t xml:space="preserve">-</w:t>
            </w:r>
          </w:p>
        </w:tc>
        <w:tc>
          <w:tcPr>
            <w:tcW w:w="1092" w:type="dxa"/>
            <w:tcBorders>
              <w:top w:val="single" w:sz="4"/>
              <w:bottom w:val="single" w:sz="4"/>
            </w:tcBorders>
          </w:tcPr>
          <w:p>
            <w:pPr>
              <w:pStyle w:val="0"/>
              <w:jc w:val="center"/>
            </w:pPr>
            <w:r>
              <w:rPr>
                <w:sz w:val="24"/>
              </w:rPr>
              <w:t xml:space="preserve">-</w:t>
            </w:r>
          </w:p>
        </w:tc>
      </w:tr>
    </w:tbl>
    <w:p>
      <w:pPr>
        <w:pStyle w:val="0"/>
        <w:jc w:val="right"/>
      </w:pPr>
      <w:r>
        <w:rPr>
          <w:sz w:val="24"/>
        </w:rPr>
        <w:t xml:space="preserve">";</w:t>
      </w:r>
    </w:p>
    <w:p>
      <w:pPr>
        <w:pStyle w:val="0"/>
        <w:jc w:val="both"/>
      </w:pPr>
      <w:r>
        <w:rPr>
          <w:sz w:val="24"/>
        </w:rPr>
      </w:r>
    </w:p>
    <w:p>
      <w:pPr>
        <w:pStyle w:val="0"/>
        <w:ind w:firstLine="540"/>
        <w:jc w:val="both"/>
      </w:pPr>
      <w:r>
        <w:rPr>
          <w:sz w:val="24"/>
        </w:rPr>
        <w:t xml:space="preserve">в </w:t>
      </w:r>
      <w:hyperlink w:history="0" r:id="rId145"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примечании</w:t>
        </w:r>
      </w:hyperlink>
      <w:r>
        <w:rPr>
          <w:sz w:val="24"/>
        </w:rPr>
        <w:t xml:space="preserve"> к таблице 1:</w:t>
      </w:r>
    </w:p>
    <w:p>
      <w:pPr>
        <w:pStyle w:val="0"/>
        <w:spacing w:before="240" w:lineRule="auto"/>
        <w:ind w:firstLine="540"/>
        <w:jc w:val="both"/>
      </w:pPr>
      <w:hyperlink w:history="0" r:id="rId146"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пункт 1</w:t>
        </w:r>
      </w:hyperlink>
      <w:r>
        <w:rPr>
          <w:sz w:val="24"/>
        </w:rPr>
        <w:t xml:space="preserve"> изложить в следующей редакции:</w:t>
      </w:r>
    </w:p>
    <w:p>
      <w:pPr>
        <w:pStyle w:val="0"/>
        <w:spacing w:before="240" w:lineRule="auto"/>
        <w:ind w:firstLine="540"/>
        <w:jc w:val="both"/>
      </w:pPr>
      <w:r>
        <w:rPr>
          <w:sz w:val="24"/>
        </w:rPr>
        <w:t xml:space="preserve">"1. КЗ в "мертвой зоне" РУ (точки РУ, короткие замыкания в которых ликвидируются со временем, превышающим время действия основных защит) рассматривается только для нормативных возмущений 1.1 и 1.2, при этом группа нормативных возмущений должна приниматься в соответствии с указанной для нормативного возмущения 1.5.";</w:t>
      </w:r>
    </w:p>
    <w:p>
      <w:pPr>
        <w:pStyle w:val="0"/>
        <w:spacing w:before="240" w:lineRule="auto"/>
        <w:ind w:firstLine="540"/>
        <w:jc w:val="both"/>
      </w:pPr>
      <w:hyperlink w:history="0" r:id="rId147"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пункт 5</w:t>
        </w:r>
      </w:hyperlink>
      <w:r>
        <w:rPr>
          <w:sz w:val="24"/>
        </w:rPr>
        <w:t xml:space="preserve"> изложить в следующей редакции:</w:t>
      </w:r>
    </w:p>
    <w:p>
      <w:pPr>
        <w:pStyle w:val="0"/>
        <w:spacing w:before="240" w:lineRule="auto"/>
        <w:ind w:firstLine="540"/>
        <w:jc w:val="both"/>
      </w:pPr>
      <w:r>
        <w:rPr>
          <w:sz w:val="24"/>
        </w:rPr>
        <w:t xml:space="preserve">"5. Если нормативное возмущение приводит к отключению СШ, и послеаварийная схема после этого нормативного возмущения соответствует послеаварийной схеме после нормативного возмущения, указанного в таблице 2, при проведении расчетов установившихся режимов и статической устойчивости группа нормативных возмущений должна приниматься в соответствии с таблицей 2.";</w:t>
      </w:r>
    </w:p>
    <w:p>
      <w:pPr>
        <w:pStyle w:val="0"/>
        <w:spacing w:before="240" w:lineRule="auto"/>
        <w:ind w:firstLine="540"/>
        <w:jc w:val="both"/>
      </w:pPr>
      <w:r>
        <w:rPr>
          <w:sz w:val="24"/>
        </w:rPr>
        <w:t xml:space="preserve">дополнить </w:t>
      </w:r>
      <w:hyperlink w:history="0" r:id="rId148"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примечание</w:t>
        </w:r>
      </w:hyperlink>
      <w:r>
        <w:rPr>
          <w:sz w:val="24"/>
        </w:rPr>
        <w:t xml:space="preserve"> пунктом 6 следующего содержания:</w:t>
      </w:r>
    </w:p>
    <w:p>
      <w:pPr>
        <w:pStyle w:val="0"/>
        <w:spacing w:before="240" w:lineRule="auto"/>
        <w:ind w:firstLine="540"/>
        <w:jc w:val="both"/>
      </w:pPr>
      <w:r>
        <w:rPr>
          <w:sz w:val="24"/>
        </w:rPr>
        <w:t xml:space="preserve">"6. При рассмотрении нормативных возмущений необходимо учитывать вызванное нормативным возмущением отключение всех ЛЭП, электросетевого и генерирующего оборудования.";</w:t>
      </w:r>
    </w:p>
    <w:p>
      <w:pPr>
        <w:pStyle w:val="0"/>
        <w:spacing w:before="240" w:lineRule="auto"/>
        <w:ind w:firstLine="540"/>
        <w:jc w:val="both"/>
      </w:pPr>
      <w:hyperlink w:history="0" r:id="rId149" w:tooltip="Приказ Минэнерго России от 03.08.2018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 Недействующая редакция {КонсультантПлюс}">
        <w:r>
          <w:rPr>
            <w:sz w:val="24"/>
            <w:color w:val="0000ff"/>
          </w:rPr>
          <w:t xml:space="preserve">примечание</w:t>
        </w:r>
      </w:hyperlink>
      <w:r>
        <w:rPr>
          <w:sz w:val="24"/>
        </w:rPr>
        <w:t xml:space="preserve"> к таблице 5 признать утратившим силу.</w:t>
      </w:r>
    </w:p>
    <w:p>
      <w:pPr>
        <w:pStyle w:val="0"/>
        <w:spacing w:before="240" w:lineRule="auto"/>
        <w:ind w:firstLine="540"/>
        <w:jc w:val="both"/>
      </w:pPr>
      <w:r>
        <w:rPr>
          <w:sz w:val="24"/>
        </w:rPr>
        <w:t xml:space="preserve">3. </w:t>
      </w:r>
      <w:hyperlink w:history="0" r:id="rId150"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Приказ</w:t>
        </w:r>
      </w:hyperlink>
      <w:r>
        <w:rPr>
          <w:sz w:val="24"/>
        </w:rPr>
        <w:t xml:space="preserve"> Минэнерго России от 8 февраля 2019 г. N 81 "Об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 (зарегистрирован Минюстом России 28.03.2019 N 54199) дополнить пунктом следующего содержания:</w:t>
      </w:r>
    </w:p>
    <w:p>
      <w:pPr>
        <w:pStyle w:val="0"/>
        <w:spacing w:before="240" w:lineRule="auto"/>
        <w:ind w:firstLine="540"/>
        <w:jc w:val="both"/>
      </w:pPr>
      <w:r>
        <w:rPr>
          <w:sz w:val="24"/>
        </w:rPr>
        <w:t xml:space="preserve">"3. Требования к перегрузочной способности трансформаторов и автотрансформаторов, установленных на объектах электроэнергетики, и ее поддержанию, утвержденные настоящим приказом, действуют до 31 августа 2027 г.".</w:t>
      </w:r>
    </w:p>
    <w:p>
      <w:pPr>
        <w:pStyle w:val="0"/>
        <w:spacing w:before="240" w:lineRule="auto"/>
        <w:ind w:firstLine="540"/>
        <w:jc w:val="both"/>
      </w:pPr>
      <w:r>
        <w:rPr>
          <w:sz w:val="24"/>
        </w:rPr>
        <w:t xml:space="preserve">4. В </w:t>
      </w:r>
      <w:hyperlink w:history="0" r:id="rId151"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требованиях</w:t>
        </w:r>
      </w:hyperlink>
      <w:r>
        <w:rPr>
          <w:sz w:val="24"/>
        </w:rPr>
        <w:t xml:space="preserve"> к перегрузочной способности трансформаторов и автотрансформаторов, установленных на объектах электроэнергетики, и ее поддержанию, утвержденных приказом Минэнерго России от 8 февраля 2019 г. N 81 (зарегистрирован Минюстом России 28.03.2019 N 54199):</w:t>
      </w:r>
    </w:p>
    <w:p>
      <w:pPr>
        <w:pStyle w:val="0"/>
        <w:spacing w:before="240" w:lineRule="auto"/>
        <w:ind w:firstLine="540"/>
        <w:jc w:val="both"/>
      </w:pPr>
      <w:r>
        <w:rPr>
          <w:sz w:val="24"/>
        </w:rPr>
        <w:t xml:space="preserve">а) </w:t>
      </w:r>
      <w:hyperlink w:history="0" r:id="rId152"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пункт 2</w:t>
        </w:r>
      </w:hyperlink>
      <w:r>
        <w:rPr>
          <w:sz w:val="24"/>
        </w:rPr>
        <w:t xml:space="preserve"> дополнить абзацем следующего содержания:</w:t>
      </w:r>
    </w:p>
    <w:p>
      <w:pPr>
        <w:pStyle w:val="0"/>
        <w:spacing w:before="240" w:lineRule="auto"/>
        <w:ind w:firstLine="540"/>
        <w:jc w:val="both"/>
      </w:pPr>
      <w:r>
        <w:rPr>
          <w:sz w:val="24"/>
        </w:rPr>
        <w:t xml:space="preserve">"Настоящие требования не распространяются на установленные на объектах по производству электрической энергии повышающие двухобмоточные трансформаторы, обеспечивающие выдачу мощности подключенного к обмотке низшего напряжения генерирующего оборудования.";</w:t>
      </w:r>
    </w:p>
    <w:p>
      <w:pPr>
        <w:pStyle w:val="0"/>
        <w:spacing w:before="240" w:lineRule="auto"/>
        <w:ind w:firstLine="540"/>
        <w:jc w:val="both"/>
      </w:pPr>
      <w:r>
        <w:rPr>
          <w:sz w:val="24"/>
        </w:rPr>
        <w:t xml:space="preserve">б) </w:t>
      </w:r>
      <w:hyperlink w:history="0" r:id="rId153"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абзац третий пункта 8</w:t>
        </w:r>
      </w:hyperlink>
      <w:r>
        <w:rPr>
          <w:sz w:val="24"/>
        </w:rPr>
        <w:t xml:space="preserve"> после лов "линейной интерполяции" дополнить словами ", при этом значение коэффициента допустимой длительной перегрузки не должно превышать значение коэффициента аварийной перегрузки.".</w:t>
      </w:r>
    </w:p>
    <w:p>
      <w:pPr>
        <w:pStyle w:val="0"/>
        <w:spacing w:before="240" w:lineRule="auto"/>
        <w:ind w:firstLine="540"/>
        <w:jc w:val="both"/>
      </w:pPr>
      <w:r>
        <w:rPr>
          <w:sz w:val="24"/>
        </w:rPr>
        <w:t xml:space="preserve">в) в </w:t>
      </w:r>
      <w:hyperlink w:history="0" r:id="rId154"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абзаце первом пункта 9</w:t>
        </w:r>
      </w:hyperlink>
      <w:r>
        <w:rPr>
          <w:sz w:val="24"/>
        </w:rPr>
        <w:t xml:space="preserve">:</w:t>
      </w:r>
    </w:p>
    <w:p>
      <w:pPr>
        <w:pStyle w:val="0"/>
        <w:spacing w:before="240" w:lineRule="auto"/>
        <w:ind w:firstLine="540"/>
        <w:jc w:val="both"/>
      </w:pPr>
      <w:r>
        <w:rPr>
          <w:sz w:val="24"/>
        </w:rPr>
        <w:t xml:space="preserve">слова "допускается применение коэффициентов" заменить словами "должны применяться коэффициенты";</w:t>
      </w:r>
    </w:p>
    <w:p>
      <w:pPr>
        <w:pStyle w:val="0"/>
        <w:spacing w:before="240" w:lineRule="auto"/>
        <w:ind w:firstLine="540"/>
        <w:jc w:val="both"/>
      </w:pPr>
      <w:r>
        <w:rPr>
          <w:sz w:val="24"/>
        </w:rPr>
        <w:t xml:space="preserve">слово "соответствующих" заменить словом "соответствующие";</w:t>
      </w:r>
    </w:p>
    <w:p>
      <w:pPr>
        <w:pStyle w:val="0"/>
        <w:spacing w:before="240" w:lineRule="auto"/>
        <w:ind w:firstLine="540"/>
        <w:jc w:val="both"/>
      </w:pPr>
      <w:r>
        <w:rPr>
          <w:sz w:val="24"/>
        </w:rPr>
        <w:t xml:space="preserve">г) в </w:t>
      </w:r>
      <w:hyperlink w:history="0" r:id="rId155"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абзаце первом пункта 10</w:t>
        </w:r>
      </w:hyperlink>
      <w:r>
        <w:rPr>
          <w:sz w:val="24"/>
        </w:rPr>
        <w:t xml:space="preserve"> слова "не более" заменить словами "не менее";</w:t>
      </w:r>
    </w:p>
    <w:p>
      <w:pPr>
        <w:pStyle w:val="0"/>
        <w:spacing w:before="240" w:lineRule="auto"/>
        <w:ind w:firstLine="540"/>
        <w:jc w:val="both"/>
      </w:pPr>
      <w:r>
        <w:rPr>
          <w:sz w:val="24"/>
        </w:rPr>
        <w:t xml:space="preserve">д) в </w:t>
      </w:r>
      <w:hyperlink w:history="0" r:id="rId156"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пункте 11</w:t>
        </w:r>
      </w:hyperlink>
      <w:r>
        <w:rPr>
          <w:sz w:val="24"/>
        </w:rPr>
        <w:t xml:space="preserve">:</w:t>
      </w:r>
    </w:p>
    <w:p>
      <w:pPr>
        <w:pStyle w:val="0"/>
        <w:spacing w:before="240" w:lineRule="auto"/>
        <w:ind w:firstLine="540"/>
        <w:jc w:val="both"/>
      </w:pPr>
      <w:r>
        <w:rPr>
          <w:sz w:val="24"/>
        </w:rPr>
        <w:t xml:space="preserve">в </w:t>
      </w:r>
      <w:hyperlink w:history="0" r:id="rId157"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абзаце первом</w:t>
        </w:r>
      </w:hyperlink>
      <w:r>
        <w:rPr>
          <w:sz w:val="24"/>
        </w:rPr>
        <w:t xml:space="preserve"> слова "не более" заменить словами "не менее";</w:t>
      </w:r>
    </w:p>
    <w:p>
      <w:pPr>
        <w:pStyle w:val="0"/>
        <w:spacing w:before="240" w:lineRule="auto"/>
        <w:ind w:firstLine="540"/>
        <w:jc w:val="both"/>
      </w:pPr>
      <w:r>
        <w:rPr>
          <w:sz w:val="24"/>
        </w:rPr>
        <w:t xml:space="preserve">в </w:t>
      </w:r>
      <w:hyperlink w:history="0" r:id="rId158"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абзаце втором</w:t>
        </w:r>
      </w:hyperlink>
      <w:r>
        <w:rPr>
          <w:sz w:val="24"/>
        </w:rPr>
        <w:t xml:space="preserve"> слова "для ближайшего меньшего" заменить словами "не менее величины, предусмотренной для ближайшего большего";</w:t>
      </w:r>
    </w:p>
    <w:p>
      <w:pPr>
        <w:pStyle w:val="0"/>
        <w:spacing w:before="240" w:lineRule="auto"/>
        <w:ind w:firstLine="540"/>
        <w:jc w:val="both"/>
      </w:pPr>
      <w:r>
        <w:rPr>
          <w:sz w:val="24"/>
        </w:rPr>
        <w:t xml:space="preserve">е) в </w:t>
      </w:r>
      <w:hyperlink w:history="0" r:id="rId159"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приложении</w:t>
        </w:r>
      </w:hyperlink>
      <w:r>
        <w:rPr>
          <w:sz w:val="24"/>
        </w:rPr>
        <w:t xml:space="preserve">:</w:t>
      </w:r>
    </w:p>
    <w:p>
      <w:pPr>
        <w:pStyle w:val="0"/>
        <w:spacing w:before="240" w:lineRule="auto"/>
        <w:ind w:firstLine="540"/>
        <w:jc w:val="both"/>
      </w:pPr>
      <w:r>
        <w:rPr>
          <w:sz w:val="24"/>
        </w:rPr>
        <w:t xml:space="preserve">в </w:t>
      </w:r>
      <w:hyperlink w:history="0" r:id="rId160"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таблице 2 строку 6</w:t>
        </w:r>
      </w:hyperlink>
      <w:r>
        <w:rPr>
          <w:sz w:val="24"/>
        </w:rPr>
        <w:t xml:space="preserve"> изложить в следующей редакции:</w:t>
      </w:r>
    </w:p>
    <w:p>
      <w:pPr>
        <w:pStyle w:val="0"/>
        <w:jc w:val="both"/>
      </w:pPr>
      <w:r>
        <w:rPr>
          <w:sz w:val="24"/>
        </w:rPr>
      </w:r>
    </w:p>
    <w:p>
      <w:pPr>
        <w:pStyle w:val="0"/>
      </w:pPr>
      <w:r>
        <w:rPr>
          <w:sz w:val="24"/>
        </w:rPr>
        <w:t xml:space="preserve">"</w:t>
      </w:r>
    </w:p>
    <w:p>
      <w:pPr>
        <w:spacing w:before="0"/>
        <w:spacing w:after="1"/>
      </w:pP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2324"/>
        <w:gridCol w:w="837"/>
        <w:gridCol w:w="837"/>
        <w:gridCol w:w="837"/>
        <w:gridCol w:w="837"/>
        <w:gridCol w:w="837"/>
        <w:gridCol w:w="837"/>
        <w:gridCol w:w="837"/>
        <w:gridCol w:w="842"/>
      </w:tblGrid>
      <w:tr>
        <w:tc>
          <w:tcPr>
            <w:tcW w:w="2324" w:type="dxa"/>
            <w:tcBorders>
              <w:top w:val="single" w:sz="4"/>
              <w:bottom w:val="single" w:sz="4"/>
            </w:tcBorders>
          </w:tcPr>
          <w:p>
            <w:pPr>
              <w:pStyle w:val="0"/>
              <w:jc w:val="center"/>
            </w:pPr>
            <w:r>
              <w:rPr>
                <w:sz w:val="24"/>
              </w:rPr>
              <w:t xml:space="preserve">20 минут</w:t>
            </w:r>
          </w:p>
        </w:tc>
        <w:tc>
          <w:tcPr>
            <w:tcW w:w="837" w:type="dxa"/>
            <w:vAlign w:val="center"/>
            <w:tcBorders>
              <w:top w:val="single" w:sz="4"/>
              <w:bottom w:val="single" w:sz="4"/>
            </w:tcBorders>
          </w:tcPr>
          <w:p>
            <w:pPr>
              <w:pStyle w:val="0"/>
              <w:jc w:val="center"/>
            </w:pPr>
            <w:r>
              <w:rPr>
                <w:sz w:val="24"/>
              </w:rPr>
              <w:t xml:space="preserve">2,0</w:t>
            </w:r>
          </w:p>
        </w:tc>
        <w:tc>
          <w:tcPr>
            <w:tcW w:w="837" w:type="dxa"/>
            <w:tcBorders>
              <w:top w:val="single" w:sz="4"/>
              <w:bottom w:val="single" w:sz="4"/>
            </w:tcBorders>
          </w:tcPr>
          <w:p>
            <w:pPr>
              <w:pStyle w:val="0"/>
              <w:jc w:val="center"/>
            </w:pPr>
            <w:r>
              <w:rPr>
                <w:sz w:val="24"/>
              </w:rPr>
              <w:t xml:space="preserve">1,9</w:t>
            </w:r>
          </w:p>
        </w:tc>
        <w:tc>
          <w:tcPr>
            <w:tcW w:w="837" w:type="dxa"/>
            <w:tcBorders>
              <w:top w:val="single" w:sz="4"/>
              <w:bottom w:val="single" w:sz="4"/>
            </w:tcBorders>
          </w:tcPr>
          <w:p>
            <w:pPr>
              <w:pStyle w:val="0"/>
              <w:jc w:val="center"/>
            </w:pPr>
            <w:r>
              <w:rPr>
                <w:sz w:val="24"/>
              </w:rPr>
              <w:t xml:space="preserve">1,7</w:t>
            </w:r>
          </w:p>
        </w:tc>
        <w:tc>
          <w:tcPr>
            <w:tcW w:w="837" w:type="dxa"/>
            <w:tcBorders>
              <w:top w:val="single" w:sz="4"/>
              <w:bottom w:val="single" w:sz="4"/>
            </w:tcBorders>
          </w:tcPr>
          <w:p>
            <w:pPr>
              <w:pStyle w:val="0"/>
              <w:jc w:val="center"/>
            </w:pPr>
            <w:r>
              <w:rPr>
                <w:sz w:val="24"/>
              </w:rPr>
              <w:t xml:space="preserve">1,7</w:t>
            </w:r>
          </w:p>
        </w:tc>
        <w:tc>
          <w:tcPr>
            <w:tcW w:w="837" w:type="dxa"/>
            <w:tcBorders>
              <w:top w:val="single" w:sz="4"/>
              <w:bottom w:val="single" w:sz="4"/>
            </w:tcBorders>
          </w:tcPr>
          <w:p>
            <w:pPr>
              <w:pStyle w:val="0"/>
              <w:jc w:val="center"/>
            </w:pPr>
            <w:r>
              <w:rPr>
                <w:sz w:val="24"/>
              </w:rPr>
              <w:t xml:space="preserve">1,7</w:t>
            </w:r>
          </w:p>
        </w:tc>
        <w:tc>
          <w:tcPr>
            <w:tcW w:w="837" w:type="dxa"/>
            <w:tcBorders>
              <w:top w:val="single" w:sz="4"/>
              <w:bottom w:val="single" w:sz="4"/>
            </w:tcBorders>
          </w:tcPr>
          <w:p>
            <w:pPr>
              <w:pStyle w:val="0"/>
              <w:jc w:val="center"/>
            </w:pPr>
            <w:r>
              <w:rPr>
                <w:sz w:val="24"/>
              </w:rPr>
              <w:t xml:space="preserve">1,5</w:t>
            </w:r>
          </w:p>
        </w:tc>
        <w:tc>
          <w:tcPr>
            <w:tcW w:w="837" w:type="dxa"/>
            <w:tcBorders>
              <w:top w:val="single" w:sz="4"/>
              <w:bottom w:val="single" w:sz="4"/>
            </w:tcBorders>
          </w:tcPr>
          <w:p>
            <w:pPr>
              <w:pStyle w:val="0"/>
              <w:jc w:val="center"/>
            </w:pPr>
            <w:r>
              <w:rPr>
                <w:sz w:val="24"/>
              </w:rPr>
              <w:t xml:space="preserve">1,5</w:t>
            </w:r>
          </w:p>
        </w:tc>
        <w:tc>
          <w:tcPr>
            <w:tcW w:w="842" w:type="dxa"/>
            <w:tcBorders>
              <w:top w:val="single" w:sz="4"/>
              <w:bottom w:val="single" w:sz="4"/>
            </w:tcBorders>
          </w:tcPr>
          <w:p>
            <w:pPr>
              <w:pStyle w:val="0"/>
              <w:jc w:val="center"/>
            </w:pPr>
            <w:r>
              <w:rPr>
                <w:sz w:val="24"/>
              </w:rPr>
              <w:t xml:space="preserve">1,5</w:t>
            </w:r>
          </w:p>
        </w:tc>
      </w:tr>
    </w:tbl>
    <w:p>
      <w:pPr>
        <w:pStyle w:val="0"/>
        <w:jc w:val="right"/>
      </w:pPr>
      <w:r>
        <w:rPr>
          <w:sz w:val="24"/>
        </w:rPr>
        <w:t xml:space="preserve">";</w:t>
      </w:r>
    </w:p>
    <w:p>
      <w:pPr>
        <w:pStyle w:val="0"/>
        <w:jc w:val="both"/>
      </w:pPr>
      <w:r>
        <w:rPr>
          <w:sz w:val="24"/>
        </w:rPr>
      </w:r>
    </w:p>
    <w:p>
      <w:pPr>
        <w:pStyle w:val="0"/>
        <w:ind w:firstLine="540"/>
        <w:jc w:val="both"/>
      </w:pPr>
      <w:r>
        <w:rPr>
          <w:sz w:val="24"/>
        </w:rPr>
        <w:t xml:space="preserve">в </w:t>
      </w:r>
      <w:hyperlink w:history="0" r:id="rId161"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таблице 3 строку 6</w:t>
        </w:r>
      </w:hyperlink>
      <w:r>
        <w:rPr>
          <w:sz w:val="24"/>
        </w:rPr>
        <w:t xml:space="preserve"> изложить в следующей редакции:</w:t>
      </w:r>
    </w:p>
    <w:p>
      <w:pPr>
        <w:pStyle w:val="0"/>
        <w:jc w:val="both"/>
      </w:pPr>
      <w:r>
        <w:rPr>
          <w:sz w:val="24"/>
        </w:rPr>
      </w:r>
    </w:p>
    <w:p>
      <w:pPr>
        <w:pStyle w:val="0"/>
      </w:pPr>
      <w:r>
        <w:rPr>
          <w:sz w:val="24"/>
        </w:rPr>
        <w:t xml:space="preserve">"</w:t>
      </w:r>
    </w:p>
    <w:p>
      <w:pPr>
        <w:spacing w:before="0"/>
        <w:spacing w:after="1"/>
      </w:pP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2324"/>
        <w:gridCol w:w="837"/>
        <w:gridCol w:w="837"/>
        <w:gridCol w:w="837"/>
        <w:gridCol w:w="837"/>
        <w:gridCol w:w="837"/>
        <w:gridCol w:w="837"/>
        <w:gridCol w:w="837"/>
        <w:gridCol w:w="842"/>
      </w:tblGrid>
      <w:tr>
        <w:tc>
          <w:tcPr>
            <w:tcW w:w="2324" w:type="dxa"/>
            <w:tcBorders>
              <w:top w:val="single" w:sz="4"/>
              <w:bottom w:val="single" w:sz="4"/>
            </w:tcBorders>
          </w:tcPr>
          <w:p>
            <w:pPr>
              <w:pStyle w:val="0"/>
              <w:jc w:val="center"/>
            </w:pPr>
            <w:r>
              <w:rPr>
                <w:sz w:val="24"/>
              </w:rPr>
              <w:t xml:space="preserve">20 минут</w:t>
            </w:r>
          </w:p>
        </w:tc>
        <w:tc>
          <w:tcPr>
            <w:tcW w:w="837" w:type="dxa"/>
            <w:vAlign w:val="center"/>
            <w:tcBorders>
              <w:top w:val="single" w:sz="4"/>
              <w:bottom w:val="single" w:sz="4"/>
            </w:tcBorders>
          </w:tcPr>
          <w:p>
            <w:pPr>
              <w:pStyle w:val="0"/>
              <w:jc w:val="center"/>
            </w:pPr>
            <w:r>
              <w:rPr>
                <w:sz w:val="24"/>
              </w:rPr>
              <w:t xml:space="preserve">1,8</w:t>
            </w:r>
          </w:p>
        </w:tc>
        <w:tc>
          <w:tcPr>
            <w:tcW w:w="837" w:type="dxa"/>
            <w:tcBorders>
              <w:top w:val="single" w:sz="4"/>
              <w:bottom w:val="single" w:sz="4"/>
            </w:tcBorders>
          </w:tcPr>
          <w:p>
            <w:pPr>
              <w:pStyle w:val="0"/>
              <w:jc w:val="center"/>
            </w:pPr>
            <w:r>
              <w:rPr>
                <w:sz w:val="24"/>
              </w:rPr>
              <w:t xml:space="preserve">1,7</w:t>
            </w:r>
          </w:p>
        </w:tc>
        <w:tc>
          <w:tcPr>
            <w:tcW w:w="837" w:type="dxa"/>
            <w:vAlign w:val="center"/>
            <w:tcBorders>
              <w:top w:val="single" w:sz="4"/>
              <w:bottom w:val="single" w:sz="4"/>
            </w:tcBorders>
          </w:tcPr>
          <w:p>
            <w:pPr>
              <w:pStyle w:val="0"/>
              <w:jc w:val="center"/>
            </w:pPr>
            <w:r>
              <w:rPr>
                <w:sz w:val="24"/>
              </w:rPr>
              <w:t xml:space="preserve">1,6</w:t>
            </w:r>
          </w:p>
        </w:tc>
        <w:tc>
          <w:tcPr>
            <w:tcW w:w="837" w:type="dxa"/>
            <w:tcBorders>
              <w:top w:val="single" w:sz="4"/>
              <w:bottom w:val="single" w:sz="4"/>
            </w:tcBorders>
          </w:tcPr>
          <w:p>
            <w:pPr>
              <w:pStyle w:val="0"/>
              <w:jc w:val="center"/>
            </w:pPr>
            <w:r>
              <w:rPr>
                <w:sz w:val="24"/>
              </w:rPr>
              <w:t xml:space="preserve">1,5</w:t>
            </w:r>
          </w:p>
        </w:tc>
        <w:tc>
          <w:tcPr>
            <w:tcW w:w="837" w:type="dxa"/>
            <w:tcBorders>
              <w:top w:val="single" w:sz="4"/>
              <w:bottom w:val="single" w:sz="4"/>
            </w:tcBorders>
          </w:tcPr>
          <w:p>
            <w:pPr>
              <w:pStyle w:val="0"/>
              <w:jc w:val="center"/>
            </w:pPr>
            <w:r>
              <w:rPr>
                <w:sz w:val="24"/>
              </w:rPr>
              <w:t xml:space="preserve">1,5</w:t>
            </w:r>
          </w:p>
        </w:tc>
        <w:tc>
          <w:tcPr>
            <w:tcW w:w="837" w:type="dxa"/>
            <w:tcBorders>
              <w:top w:val="single" w:sz="4"/>
              <w:bottom w:val="single" w:sz="4"/>
            </w:tcBorders>
          </w:tcPr>
          <w:p>
            <w:pPr>
              <w:pStyle w:val="0"/>
              <w:jc w:val="center"/>
            </w:pPr>
            <w:r>
              <w:rPr>
                <w:sz w:val="24"/>
              </w:rPr>
              <w:t xml:space="preserve">1,5</w:t>
            </w:r>
          </w:p>
        </w:tc>
        <w:tc>
          <w:tcPr>
            <w:tcW w:w="837" w:type="dxa"/>
            <w:tcBorders>
              <w:top w:val="single" w:sz="4"/>
              <w:bottom w:val="single" w:sz="4"/>
            </w:tcBorders>
          </w:tcPr>
          <w:p>
            <w:pPr>
              <w:pStyle w:val="0"/>
              <w:jc w:val="center"/>
            </w:pPr>
            <w:r>
              <w:rPr>
                <w:sz w:val="24"/>
              </w:rPr>
              <w:t xml:space="preserve">1,5</w:t>
            </w:r>
          </w:p>
        </w:tc>
        <w:tc>
          <w:tcPr>
            <w:tcW w:w="842" w:type="dxa"/>
            <w:tcBorders>
              <w:top w:val="single" w:sz="4"/>
              <w:bottom w:val="single" w:sz="4"/>
            </w:tcBorders>
          </w:tcPr>
          <w:p>
            <w:pPr>
              <w:pStyle w:val="0"/>
              <w:jc w:val="center"/>
            </w:pPr>
            <w:r>
              <w:rPr>
                <w:sz w:val="24"/>
              </w:rPr>
              <w:t xml:space="preserve">1,5</w:t>
            </w:r>
          </w:p>
        </w:tc>
      </w:tr>
    </w:tbl>
    <w:p>
      <w:pPr>
        <w:pStyle w:val="0"/>
        <w:jc w:val="right"/>
      </w:pPr>
      <w:r>
        <w:rPr>
          <w:sz w:val="24"/>
        </w:rPr>
        <w:t xml:space="preserve">";</w:t>
      </w:r>
    </w:p>
    <w:p>
      <w:pPr>
        <w:pStyle w:val="0"/>
        <w:jc w:val="both"/>
      </w:pPr>
      <w:r>
        <w:rPr>
          <w:sz w:val="24"/>
        </w:rPr>
      </w:r>
    </w:p>
    <w:p>
      <w:pPr>
        <w:pStyle w:val="0"/>
        <w:ind w:firstLine="540"/>
        <w:jc w:val="both"/>
      </w:pPr>
      <w:r>
        <w:rPr>
          <w:sz w:val="24"/>
        </w:rPr>
        <w:t xml:space="preserve">в </w:t>
      </w:r>
      <w:hyperlink w:history="0" r:id="rId162" w:tooltip="Приказ Минэнерго России от 08.02.2019 N 81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таблице 4 строку 6</w:t>
        </w:r>
      </w:hyperlink>
      <w:r>
        <w:rPr>
          <w:sz w:val="24"/>
        </w:rPr>
        <w:t xml:space="preserve"> изложить в следующей редакции:</w:t>
      </w:r>
    </w:p>
    <w:p>
      <w:pPr>
        <w:pStyle w:val="0"/>
        <w:jc w:val="both"/>
      </w:pPr>
      <w:r>
        <w:rPr>
          <w:sz w:val="24"/>
        </w:rPr>
      </w:r>
    </w:p>
    <w:p>
      <w:pPr>
        <w:pStyle w:val="0"/>
      </w:pPr>
      <w:r>
        <w:rPr>
          <w:sz w:val="24"/>
        </w:rPr>
        <w:t xml:space="preserve">"</w:t>
      </w:r>
    </w:p>
    <w:p>
      <w:pPr>
        <w:spacing w:before="0"/>
        <w:spacing w:after="1"/>
      </w:pP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2324"/>
        <w:gridCol w:w="837"/>
        <w:gridCol w:w="837"/>
        <w:gridCol w:w="837"/>
        <w:gridCol w:w="837"/>
        <w:gridCol w:w="837"/>
        <w:gridCol w:w="837"/>
        <w:gridCol w:w="837"/>
        <w:gridCol w:w="842"/>
      </w:tblGrid>
      <w:tr>
        <w:tc>
          <w:tcPr>
            <w:tcW w:w="2324" w:type="dxa"/>
            <w:tcBorders>
              <w:top w:val="single" w:sz="4"/>
              <w:bottom w:val="single" w:sz="4"/>
            </w:tcBorders>
          </w:tcPr>
          <w:p>
            <w:pPr>
              <w:pStyle w:val="0"/>
              <w:jc w:val="center"/>
            </w:pPr>
            <w:r>
              <w:rPr>
                <w:sz w:val="24"/>
              </w:rPr>
              <w:t xml:space="preserve">20 минут</w:t>
            </w:r>
          </w:p>
        </w:tc>
        <w:tc>
          <w:tcPr>
            <w:tcW w:w="837" w:type="dxa"/>
            <w:vAlign w:val="center"/>
            <w:tcBorders>
              <w:top w:val="single" w:sz="4"/>
              <w:bottom w:val="single" w:sz="4"/>
            </w:tcBorders>
          </w:tcPr>
          <w:p>
            <w:pPr>
              <w:pStyle w:val="0"/>
              <w:jc w:val="center"/>
            </w:pPr>
            <w:r>
              <w:rPr>
                <w:sz w:val="24"/>
              </w:rPr>
              <w:t xml:space="preserve">1,6</w:t>
            </w:r>
          </w:p>
        </w:tc>
        <w:tc>
          <w:tcPr>
            <w:tcW w:w="837" w:type="dxa"/>
            <w:vAlign w:val="center"/>
            <w:tcBorders>
              <w:top w:val="single" w:sz="4"/>
              <w:bottom w:val="single" w:sz="4"/>
            </w:tcBorders>
          </w:tcPr>
          <w:p>
            <w:pPr>
              <w:pStyle w:val="0"/>
              <w:jc w:val="center"/>
            </w:pPr>
            <w:r>
              <w:rPr>
                <w:sz w:val="24"/>
              </w:rPr>
              <w:t xml:space="preserve">1,6</w:t>
            </w:r>
          </w:p>
        </w:tc>
        <w:tc>
          <w:tcPr>
            <w:tcW w:w="837" w:type="dxa"/>
            <w:tcBorders>
              <w:top w:val="single" w:sz="4"/>
              <w:bottom w:val="single" w:sz="4"/>
            </w:tcBorders>
          </w:tcPr>
          <w:p>
            <w:pPr>
              <w:pStyle w:val="0"/>
              <w:jc w:val="center"/>
            </w:pPr>
            <w:r>
              <w:rPr>
                <w:sz w:val="24"/>
              </w:rPr>
              <w:t xml:space="preserve">1,5</w:t>
            </w:r>
          </w:p>
        </w:tc>
        <w:tc>
          <w:tcPr>
            <w:tcW w:w="837" w:type="dxa"/>
            <w:tcBorders>
              <w:top w:val="single" w:sz="4"/>
              <w:bottom w:val="single" w:sz="4"/>
            </w:tcBorders>
          </w:tcPr>
          <w:p>
            <w:pPr>
              <w:pStyle w:val="0"/>
              <w:jc w:val="center"/>
            </w:pPr>
            <w:r>
              <w:rPr>
                <w:sz w:val="24"/>
              </w:rPr>
              <w:t xml:space="preserve">1,5</w:t>
            </w:r>
          </w:p>
        </w:tc>
        <w:tc>
          <w:tcPr>
            <w:tcW w:w="837" w:type="dxa"/>
            <w:tcBorders>
              <w:top w:val="single" w:sz="4"/>
              <w:bottom w:val="single" w:sz="4"/>
            </w:tcBorders>
          </w:tcPr>
          <w:p>
            <w:pPr>
              <w:pStyle w:val="0"/>
              <w:jc w:val="center"/>
            </w:pPr>
            <w:r>
              <w:rPr>
                <w:sz w:val="24"/>
              </w:rPr>
              <w:t xml:space="preserve">1,5</w:t>
            </w:r>
          </w:p>
        </w:tc>
        <w:tc>
          <w:tcPr>
            <w:tcW w:w="837" w:type="dxa"/>
            <w:tcBorders>
              <w:top w:val="single" w:sz="4"/>
              <w:bottom w:val="single" w:sz="4"/>
            </w:tcBorders>
          </w:tcPr>
          <w:p>
            <w:pPr>
              <w:pStyle w:val="0"/>
              <w:jc w:val="center"/>
            </w:pPr>
            <w:r>
              <w:rPr>
                <w:sz w:val="24"/>
              </w:rPr>
              <w:t xml:space="preserve">1,5</w:t>
            </w:r>
          </w:p>
        </w:tc>
        <w:tc>
          <w:tcPr>
            <w:tcW w:w="837" w:type="dxa"/>
            <w:tcBorders>
              <w:top w:val="single" w:sz="4"/>
              <w:bottom w:val="single" w:sz="4"/>
            </w:tcBorders>
          </w:tcPr>
          <w:p>
            <w:pPr>
              <w:pStyle w:val="0"/>
              <w:jc w:val="center"/>
            </w:pPr>
            <w:r>
              <w:rPr>
                <w:sz w:val="24"/>
              </w:rPr>
              <w:t xml:space="preserve">1,5</w:t>
            </w:r>
          </w:p>
        </w:tc>
        <w:tc>
          <w:tcPr>
            <w:tcW w:w="842" w:type="dxa"/>
            <w:tcBorders>
              <w:top w:val="single" w:sz="4"/>
              <w:bottom w:val="single" w:sz="4"/>
            </w:tcBorders>
          </w:tcPr>
          <w:p>
            <w:pPr>
              <w:pStyle w:val="0"/>
              <w:jc w:val="center"/>
            </w:pPr>
            <w:r>
              <w:rPr>
                <w:sz w:val="24"/>
              </w:rPr>
              <w:t xml:space="preserve">1,5</w:t>
            </w:r>
          </w:p>
        </w:tc>
      </w:tr>
    </w:tbl>
    <w:p>
      <w:pPr>
        <w:pStyle w:val="0"/>
        <w:jc w:val="right"/>
      </w:pPr>
      <w:r>
        <w:rPr>
          <w:sz w:val="24"/>
        </w:rPr>
        <w:t xml:space="preserve">".</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Минэнерго России от 28.12.2020 N 1195</w:t>
            <w:br/>
            <w:t>(ред. от 28.04.2023)</w:t>
            <w:br/>
            <w:t>"Об утверждении Правил разработки и согласования схем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85699&amp;date=02.03.2026&amp;dst=100013&amp;field=134&amp;demo=2" TargetMode = "External"/><Relationship Id="rId9" Type="http://schemas.openxmlformats.org/officeDocument/2006/relationships/hyperlink" Target="https://login.consultant.ru/link/?req=doc&amp;base=LAW&amp;n=520567&amp;date=02.03.2026&amp;dst=100012&amp;field=134&amp;demo=2" TargetMode = "External"/><Relationship Id="rId10" Type="http://schemas.openxmlformats.org/officeDocument/2006/relationships/hyperlink" Target="https://login.consultant.ru/link/?req=doc&amp;base=LAW&amp;n=450364&amp;date=02.03.2026&amp;dst=100006&amp;field=134&amp;demo=2" TargetMode = "External"/><Relationship Id="rId11" Type="http://schemas.openxmlformats.org/officeDocument/2006/relationships/hyperlink" Target="https://login.consultant.ru/link/?req=doc&amp;base=LAW&amp;n=509574&amp;date=02.03.2026&amp;dst=100044&amp;field=134&amp;demo=2" TargetMode = "External"/><Relationship Id="rId12" Type="http://schemas.openxmlformats.org/officeDocument/2006/relationships/hyperlink" Target="https://login.consultant.ru/link/?req=doc&amp;base=LAW&amp;n=495190&amp;date=02.03.2026&amp;dst=100005&amp;field=134&amp;demo=2" TargetMode = "External"/><Relationship Id="rId13" Type="http://schemas.openxmlformats.org/officeDocument/2006/relationships/hyperlink" Target="https://login.consultant.ru/link/?req=doc&amp;base=LAW&amp;n=495190&amp;date=02.03.2026&amp;dst=1&amp;field=134&amp;demo=2" TargetMode = "External"/><Relationship Id="rId14" Type="http://schemas.openxmlformats.org/officeDocument/2006/relationships/hyperlink" Target="https://login.consultant.ru/link/?req=doc&amp;base=LAW&amp;n=485699&amp;date=02.03.2026&amp;dst=100021&amp;field=134&amp;demo=2" TargetMode = "External"/><Relationship Id="rId15" Type="http://schemas.openxmlformats.org/officeDocument/2006/relationships/hyperlink" Target="https://login.consultant.ru/link/?req=doc&amp;base=LAW&amp;n=485699&amp;date=02.03.2026&amp;dst=100022&amp;field=134&amp;demo=2" TargetMode = "External"/><Relationship Id="rId16" Type="http://schemas.openxmlformats.org/officeDocument/2006/relationships/hyperlink" Target="https://login.consultant.ru/link/?req=doc&amp;base=LAW&amp;n=520567&amp;date=02.03.2026&amp;dst=100012&amp;field=134&amp;demo=2" TargetMode = "External"/><Relationship Id="rId17" Type="http://schemas.openxmlformats.org/officeDocument/2006/relationships/hyperlink" Target="https://login.consultant.ru/link/?req=doc&amp;base=LAW&amp;n=450364&amp;date=02.03.2026&amp;dst=100006&amp;field=134&amp;demo=2" TargetMode = "External"/><Relationship Id="rId18" Type="http://schemas.openxmlformats.org/officeDocument/2006/relationships/hyperlink" Target="https://login.consultant.ru/link/?req=doc&amp;base=LAW&amp;n=526158&amp;date=02.03.2026&amp;dst=2395&amp;field=134&amp;demo=2" TargetMode = "External"/><Relationship Id="rId19" Type="http://schemas.openxmlformats.org/officeDocument/2006/relationships/hyperlink" Target="https://login.consultant.ru/link/?req=doc&amp;base=LAW&amp;n=526158&amp;date=02.03.2026&amp;dst=100776&amp;field=134&amp;demo=2" TargetMode = "External"/><Relationship Id="rId20" Type="http://schemas.openxmlformats.org/officeDocument/2006/relationships/hyperlink" Target="https://login.consultant.ru/link/?req=doc&amp;base=LAW&amp;n=526158&amp;date=02.03.2026&amp;dst=100776&amp;field=134&amp;demo=2" TargetMode = "External"/><Relationship Id="rId21" Type="http://schemas.openxmlformats.org/officeDocument/2006/relationships/hyperlink" Target="https://login.consultant.ru/link/?req=doc&amp;base=LAW&amp;n=520567&amp;date=02.03.2026&amp;dst=100130&amp;field=134&amp;demo=2" TargetMode = "External"/><Relationship Id="rId22" Type="http://schemas.openxmlformats.org/officeDocument/2006/relationships/hyperlink" Target="https://login.consultant.ru/link/?req=doc&amp;base=LAW&amp;n=450364&amp;date=02.03.2026&amp;dst=100012&amp;field=134&amp;demo=2" TargetMode = "External"/><Relationship Id="rId23" Type="http://schemas.openxmlformats.org/officeDocument/2006/relationships/hyperlink" Target="https://login.consultant.ru/link/?req=doc&amp;base=LAW&amp;n=520567&amp;date=02.03.2026&amp;dst=100133&amp;field=134&amp;demo=2" TargetMode = "External"/><Relationship Id="rId24" Type="http://schemas.openxmlformats.org/officeDocument/2006/relationships/hyperlink" Target="https://login.consultant.ru/link/?req=doc&amp;base=LAW&amp;n=520567&amp;date=02.03.2026&amp;dst=100134&amp;field=134&amp;demo=2" TargetMode = "External"/><Relationship Id="rId25" Type="http://schemas.openxmlformats.org/officeDocument/2006/relationships/hyperlink" Target="https://login.consultant.ru/link/?req=doc&amp;base=LAW&amp;n=520567&amp;date=02.03.2026&amp;dst=100018&amp;field=134&amp;demo=2" TargetMode = "External"/><Relationship Id="rId26" Type="http://schemas.openxmlformats.org/officeDocument/2006/relationships/hyperlink" Target="https://login.consultant.ru/link/?req=doc&amp;base=LAW&amp;n=517494&amp;date=02.03.2026&amp;dst=672&amp;field=134&amp;demo=2" TargetMode = "External"/><Relationship Id="rId27" Type="http://schemas.openxmlformats.org/officeDocument/2006/relationships/hyperlink" Target="https://login.consultant.ru/link/?req=doc&amp;base=LAW&amp;n=517494&amp;date=02.03.2026&amp;dst=767&amp;field=134&amp;demo=2" TargetMode = "External"/><Relationship Id="rId28" Type="http://schemas.openxmlformats.org/officeDocument/2006/relationships/hyperlink" Target="https://login.consultant.ru/link/?req=doc&amp;base=LAW&amp;n=520567&amp;date=02.03.2026&amp;dst=100136&amp;field=134&amp;demo=2" TargetMode = "External"/><Relationship Id="rId29" Type="http://schemas.openxmlformats.org/officeDocument/2006/relationships/hyperlink" Target="https://login.consultant.ru/link/?req=doc&amp;base=LAW&amp;n=526158&amp;date=02.03.2026&amp;dst=3166&amp;field=134&amp;demo=2" TargetMode = "External"/><Relationship Id="rId30" Type="http://schemas.openxmlformats.org/officeDocument/2006/relationships/hyperlink" Target="https://login.consultant.ru/link/?req=doc&amp;base=LAW&amp;n=450364&amp;date=02.03.2026&amp;dst=100013&amp;field=134&amp;demo=2" TargetMode = "External"/><Relationship Id="rId31" Type="http://schemas.openxmlformats.org/officeDocument/2006/relationships/hyperlink" Target="https://login.consultant.ru/link/?req=doc&amp;base=LAW&amp;n=526158&amp;date=02.03.2026&amp;dst=3166&amp;field=134&amp;demo=2" TargetMode = "External"/><Relationship Id="rId32" Type="http://schemas.openxmlformats.org/officeDocument/2006/relationships/hyperlink" Target="https://login.consultant.ru/link/?req=doc&amp;base=LAW&amp;n=450364&amp;date=02.03.2026&amp;dst=100015&amp;field=134&amp;demo=2" TargetMode = "External"/><Relationship Id="rId33" Type="http://schemas.openxmlformats.org/officeDocument/2006/relationships/hyperlink" Target="https://login.consultant.ru/link/?req=doc&amp;base=LAW&amp;n=509574&amp;date=02.03.2026&amp;dst=100052&amp;field=134&amp;demo=2" TargetMode = "External"/><Relationship Id="rId34" Type="http://schemas.openxmlformats.org/officeDocument/2006/relationships/hyperlink" Target="https://login.consultant.ru/link/?req=doc&amp;base=LAW&amp;n=509574&amp;date=02.03.2026&amp;demo=2" TargetMode = "External"/><Relationship Id="rId35" Type="http://schemas.openxmlformats.org/officeDocument/2006/relationships/hyperlink" Target="https://login.consultant.ru/link/?req=doc&amp;base=LAW&amp;n=495190&amp;date=02.03.2026&amp;demo=2" TargetMode = "External"/><Relationship Id="rId36" Type="http://schemas.openxmlformats.org/officeDocument/2006/relationships/hyperlink" Target="https://login.consultant.ru/link/?req=doc&amp;base=LAW&amp;n=520567&amp;date=02.03.2026&amp;dst=100137&amp;field=134&amp;demo=2" TargetMode = "External"/><Relationship Id="rId37" Type="http://schemas.openxmlformats.org/officeDocument/2006/relationships/hyperlink" Target="https://login.consultant.ru/link/?req=doc&amp;base=LAW&amp;n=526156&amp;date=02.03.2026&amp;dst=100025&amp;field=134&amp;demo=2" TargetMode = "External"/><Relationship Id="rId38" Type="http://schemas.openxmlformats.org/officeDocument/2006/relationships/hyperlink" Target="https://login.consultant.ru/link/?req=doc&amp;base=LAW&amp;n=438139&amp;date=02.03.2026&amp;dst=100009&amp;field=134&amp;demo=2" TargetMode = "External"/><Relationship Id="rId39" Type="http://schemas.openxmlformats.org/officeDocument/2006/relationships/hyperlink" Target="https://login.consultant.ru/link/?req=doc&amp;base=LAW&amp;n=520567&amp;date=02.03.2026&amp;dst=100138&amp;field=134&amp;demo=2" TargetMode = "External"/><Relationship Id="rId40" Type="http://schemas.openxmlformats.org/officeDocument/2006/relationships/hyperlink" Target="https://login.consultant.ru/link/?req=doc&amp;base=LAW&amp;n=450364&amp;date=02.03.2026&amp;dst=100017&amp;field=134&amp;demo=2" TargetMode = "External"/><Relationship Id="rId41" Type="http://schemas.openxmlformats.org/officeDocument/2006/relationships/hyperlink" Target="https://login.consultant.ru/link/?req=doc&amp;base=LAW&amp;n=520567&amp;date=02.03.2026&amp;dst=100141&amp;field=134&amp;demo=2" TargetMode = "External"/><Relationship Id="rId42" Type="http://schemas.openxmlformats.org/officeDocument/2006/relationships/hyperlink" Target="https://login.consultant.ru/link/?req=doc&amp;base=LAW&amp;n=526158&amp;date=02.03.2026&amp;dst=2499&amp;field=134&amp;demo=2" TargetMode = "External"/><Relationship Id="rId43" Type="http://schemas.openxmlformats.org/officeDocument/2006/relationships/hyperlink" Target="https://login.consultant.ru/link/?req=doc&amp;base=LAW&amp;n=526158&amp;date=02.03.2026&amp;dst=100789&amp;field=134&amp;demo=2" TargetMode = "External"/><Relationship Id="rId44" Type="http://schemas.openxmlformats.org/officeDocument/2006/relationships/hyperlink" Target="https://login.consultant.ru/link/?req=doc&amp;base=LAW&amp;n=526158&amp;date=02.03.2026&amp;dst=100682&amp;field=134&amp;demo=2" TargetMode = "External"/><Relationship Id="rId45" Type="http://schemas.openxmlformats.org/officeDocument/2006/relationships/hyperlink" Target="https://login.consultant.ru/link/?req=doc&amp;base=LAW&amp;n=520567&amp;date=02.03.2026&amp;dst=100143&amp;field=134&amp;demo=2" TargetMode = "External"/><Relationship Id="rId46" Type="http://schemas.openxmlformats.org/officeDocument/2006/relationships/hyperlink" Target="https://login.consultant.ru/link/?req=doc&amp;base=LAW&amp;n=450364&amp;date=02.03.2026&amp;dst=100018&amp;field=134&amp;demo=2" TargetMode = "External"/><Relationship Id="rId47" Type="http://schemas.openxmlformats.org/officeDocument/2006/relationships/hyperlink" Target="https://login.consultant.ru/link/?req=doc&amp;base=LAW&amp;n=450364&amp;date=02.03.2026&amp;dst=100020&amp;field=134&amp;demo=2" TargetMode = "External"/><Relationship Id="rId48" Type="http://schemas.openxmlformats.org/officeDocument/2006/relationships/hyperlink" Target="https://login.consultant.ru/link/?req=doc&amp;base=LAW&amp;n=520567&amp;date=02.03.2026&amp;dst=100145&amp;field=134&amp;demo=2" TargetMode = "External"/><Relationship Id="rId49" Type="http://schemas.openxmlformats.org/officeDocument/2006/relationships/hyperlink" Target="https://login.consultant.ru/link/?req=doc&amp;base=LAW&amp;n=520567&amp;date=02.03.2026&amp;dst=100018&amp;field=134&amp;demo=2" TargetMode = "External"/><Relationship Id="rId50" Type="http://schemas.openxmlformats.org/officeDocument/2006/relationships/hyperlink" Target="https://login.consultant.ru/link/?req=doc&amp;base=LAW&amp;n=517494&amp;date=02.03.2026&amp;dst=672&amp;field=134&amp;demo=2" TargetMode = "External"/><Relationship Id="rId51" Type="http://schemas.openxmlformats.org/officeDocument/2006/relationships/hyperlink" Target="https://login.consultant.ru/link/?req=doc&amp;base=LAW&amp;n=517494&amp;date=02.03.2026&amp;dst=767&amp;field=134&amp;demo=2" TargetMode = "External"/><Relationship Id="rId52" Type="http://schemas.openxmlformats.org/officeDocument/2006/relationships/hyperlink" Target="https://login.consultant.ru/link/?req=doc&amp;base=LAW&amp;n=520567&amp;date=02.03.2026&amp;dst=100149&amp;field=134&amp;demo=2" TargetMode = "External"/><Relationship Id="rId53" Type="http://schemas.openxmlformats.org/officeDocument/2006/relationships/hyperlink" Target="https://login.consultant.ru/link/?req=doc&amp;base=LAW&amp;n=520567&amp;date=02.03.2026&amp;dst=100154&amp;field=134&amp;demo=2" TargetMode = "External"/><Relationship Id="rId54" Type="http://schemas.openxmlformats.org/officeDocument/2006/relationships/hyperlink" Target="https://login.consultant.ru/link/?req=doc&amp;base=LAW&amp;n=450364&amp;date=02.03.2026&amp;dst=100022&amp;field=134&amp;demo=2" TargetMode = "External"/><Relationship Id="rId55" Type="http://schemas.openxmlformats.org/officeDocument/2006/relationships/hyperlink" Target="https://login.consultant.ru/link/?req=doc&amp;base=LAW&amp;n=520567&amp;date=02.03.2026&amp;dst=100156&amp;field=134&amp;demo=2" TargetMode = "External"/><Relationship Id="rId56" Type="http://schemas.openxmlformats.org/officeDocument/2006/relationships/hyperlink" Target="https://login.consultant.ru/link/?req=doc&amp;base=LAW&amp;n=450364&amp;date=02.03.2026&amp;dst=100023&amp;field=134&amp;demo=2" TargetMode = "External"/><Relationship Id="rId57" Type="http://schemas.openxmlformats.org/officeDocument/2006/relationships/hyperlink" Target="https://login.consultant.ru/link/?req=doc&amp;base=LAW&amp;n=450364&amp;date=02.03.2026&amp;dst=100025&amp;field=134&amp;demo=2" TargetMode = "External"/><Relationship Id="rId58" Type="http://schemas.openxmlformats.org/officeDocument/2006/relationships/hyperlink" Target="https://login.consultant.ru/link/?req=doc&amp;base=LAW&amp;n=450364&amp;date=02.03.2026&amp;dst=100027&amp;field=134&amp;demo=2" TargetMode = "External"/><Relationship Id="rId59" Type="http://schemas.openxmlformats.org/officeDocument/2006/relationships/hyperlink" Target="https://login.consultant.ru/link/?req=doc&amp;base=LAW&amp;n=450364&amp;date=02.03.2026&amp;dst=100028&amp;field=134&amp;demo=2" TargetMode = "External"/><Relationship Id="rId60" Type="http://schemas.openxmlformats.org/officeDocument/2006/relationships/hyperlink" Target="https://login.consultant.ru/link/?req=doc&amp;base=LAW&amp;n=526155&amp;date=02.03.2026&amp;dst=100009&amp;field=134&amp;demo=2" TargetMode = "External"/><Relationship Id="rId61" Type="http://schemas.openxmlformats.org/officeDocument/2006/relationships/hyperlink" Target="https://login.consultant.ru/link/?req=doc&amp;base=LAW&amp;n=520567&amp;date=02.03.2026&amp;dst=100160&amp;field=134&amp;demo=2" TargetMode = "External"/><Relationship Id="rId62" Type="http://schemas.openxmlformats.org/officeDocument/2006/relationships/hyperlink" Target="https://login.consultant.ru/link/?req=doc&amp;base=LAW&amp;n=508807&amp;date=02.03.2026&amp;demo=2" TargetMode = "External"/><Relationship Id="rId63" Type="http://schemas.openxmlformats.org/officeDocument/2006/relationships/hyperlink" Target="https://login.consultant.ru/link/?req=doc&amp;base=LAW&amp;n=482665&amp;date=02.03.2026&amp;demo=2" TargetMode = "External"/><Relationship Id="rId64" Type="http://schemas.openxmlformats.org/officeDocument/2006/relationships/hyperlink" Target="https://login.consultant.ru/link/?req=doc&amp;base=LAW&amp;n=520567&amp;date=02.03.2026&amp;dst=100168&amp;field=134&amp;demo=2" TargetMode = "External"/><Relationship Id="rId65" Type="http://schemas.openxmlformats.org/officeDocument/2006/relationships/hyperlink" Target="https://login.consultant.ru/link/?req=doc&amp;base=LAW&amp;n=520567&amp;date=02.03.2026&amp;dst=100169&amp;field=134&amp;demo=2" TargetMode = "External"/><Relationship Id="rId66" Type="http://schemas.openxmlformats.org/officeDocument/2006/relationships/hyperlink" Target="https://login.consultant.ru/link/?req=doc&amp;base=LAW&amp;n=509574&amp;date=02.03.2026&amp;dst=100027&amp;field=134&amp;demo=2" TargetMode = "External"/><Relationship Id="rId67" Type="http://schemas.openxmlformats.org/officeDocument/2006/relationships/hyperlink" Target="https://login.consultant.ru/link/?req=doc&amp;base=LAW&amp;n=485699&amp;date=02.03.2026&amp;dst=100023&amp;field=134&amp;demo=2" TargetMode = "External"/><Relationship Id="rId68" Type="http://schemas.openxmlformats.org/officeDocument/2006/relationships/hyperlink" Target="https://login.consultant.ru/link/?req=doc&amp;base=LAW&amp;n=520567&amp;date=02.03.2026&amp;dst=100173&amp;field=134&amp;demo=2" TargetMode = "External"/><Relationship Id="rId69" Type="http://schemas.openxmlformats.org/officeDocument/2006/relationships/hyperlink" Target="https://login.consultant.ru/link/?req=doc&amp;base=LAW&amp;n=520567&amp;date=02.03.2026&amp;dst=100174&amp;field=134&amp;demo=2" TargetMode = "External"/><Relationship Id="rId70" Type="http://schemas.openxmlformats.org/officeDocument/2006/relationships/hyperlink" Target="https://login.consultant.ru/link/?req=doc&amp;base=LAW&amp;n=520567&amp;date=02.03.2026&amp;dst=100176&amp;field=134&amp;demo=2" TargetMode = "External"/><Relationship Id="rId71" Type="http://schemas.openxmlformats.org/officeDocument/2006/relationships/hyperlink" Target="https://login.consultant.ru/link/?req=doc&amp;base=LAW&amp;n=442245&amp;date=02.03.2026&amp;dst=100025&amp;field=134&amp;demo=2" TargetMode = "External"/><Relationship Id="rId72" Type="http://schemas.openxmlformats.org/officeDocument/2006/relationships/hyperlink" Target="https://login.consultant.ru/link/?req=doc&amp;base=LAW&amp;n=509574&amp;date=02.03.2026&amp;dst=100010&amp;field=134&amp;demo=2" TargetMode = "External"/><Relationship Id="rId73" Type="http://schemas.openxmlformats.org/officeDocument/2006/relationships/hyperlink" Target="https://login.consultant.ru/link/?req=doc&amp;base=LAW&amp;n=520567&amp;date=02.03.2026&amp;dst=100178&amp;field=134&amp;demo=2" TargetMode = "External"/><Relationship Id="rId74" Type="http://schemas.openxmlformats.org/officeDocument/2006/relationships/hyperlink" Target="https://login.consultant.ru/link/?req=doc&amp;base=LAW&amp;n=520567&amp;date=02.03.2026&amp;dst=100181&amp;field=134&amp;demo=2" TargetMode = "External"/><Relationship Id="rId75" Type="http://schemas.openxmlformats.org/officeDocument/2006/relationships/hyperlink" Target="https://login.consultant.ru/link/?req=doc&amp;base=LAW&amp;n=520567&amp;date=02.03.2026&amp;dst=100182&amp;field=134&amp;demo=2" TargetMode = "External"/><Relationship Id="rId76" Type="http://schemas.openxmlformats.org/officeDocument/2006/relationships/hyperlink" Target="https://login.consultant.ru/link/?req=doc&amp;base=LAW&amp;n=526158&amp;date=02.03.2026&amp;dst=100776&amp;field=134&amp;demo=2" TargetMode = "External"/><Relationship Id="rId77" Type="http://schemas.openxmlformats.org/officeDocument/2006/relationships/hyperlink" Target="https://login.consultant.ru/link/?req=doc&amp;base=LAW&amp;n=520567&amp;date=02.03.2026&amp;dst=100184&amp;field=134&amp;demo=2" TargetMode = "External"/><Relationship Id="rId78" Type="http://schemas.openxmlformats.org/officeDocument/2006/relationships/hyperlink" Target="https://login.consultant.ru/link/?req=doc&amp;base=LAW&amp;n=442245&amp;date=02.03.2026&amp;dst=100025&amp;field=134&amp;demo=2" TargetMode = "External"/><Relationship Id="rId79" Type="http://schemas.openxmlformats.org/officeDocument/2006/relationships/hyperlink" Target="https://login.consultant.ru/link/?req=doc&amp;base=LAW&amp;n=520567&amp;date=02.03.2026&amp;dst=100186&amp;field=134&amp;demo=2" TargetMode = "External"/><Relationship Id="rId80" Type="http://schemas.openxmlformats.org/officeDocument/2006/relationships/hyperlink" Target="https://login.consultant.ru/link/?req=doc&amp;base=LAW&amp;n=526158&amp;date=02.03.2026&amp;dst=3166&amp;field=134&amp;demo=2" TargetMode = "External"/><Relationship Id="rId81" Type="http://schemas.openxmlformats.org/officeDocument/2006/relationships/hyperlink" Target="https://login.consultant.ru/link/?req=doc&amp;base=LAW&amp;n=450364&amp;date=02.03.2026&amp;dst=100029&amp;field=134&amp;demo=2" TargetMode = "External"/><Relationship Id="rId82" Type="http://schemas.openxmlformats.org/officeDocument/2006/relationships/hyperlink" Target="https://login.consultant.ru/link/?req=doc&amp;base=LAW&amp;n=450364&amp;date=02.03.2026&amp;dst=100033&amp;field=134&amp;demo=2" TargetMode = "External"/><Relationship Id="rId83" Type="http://schemas.openxmlformats.org/officeDocument/2006/relationships/hyperlink" Target="https://login.consultant.ru/link/?req=doc&amp;base=LAW&amp;n=520567&amp;date=02.03.2026&amp;dst=100188&amp;field=134&amp;demo=2" TargetMode = "External"/><Relationship Id="rId84" Type="http://schemas.openxmlformats.org/officeDocument/2006/relationships/hyperlink" Target="https://login.consultant.ru/link/?req=doc&amp;base=LAW&amp;n=450364&amp;date=02.03.2026&amp;dst=100033&amp;field=134&amp;demo=2" TargetMode = "External"/><Relationship Id="rId85" Type="http://schemas.openxmlformats.org/officeDocument/2006/relationships/hyperlink" Target="https://login.consultant.ru/link/?req=doc&amp;base=LAW&amp;n=520567&amp;date=02.03.2026&amp;dst=100191&amp;field=134&amp;demo=2" TargetMode = "External"/><Relationship Id="rId86" Type="http://schemas.openxmlformats.org/officeDocument/2006/relationships/hyperlink" Target="https://login.consultant.ru/link/?req=doc&amp;base=LAW&amp;n=520567&amp;date=02.03.2026&amp;dst=100193&amp;field=134&amp;demo=2" TargetMode = "External"/><Relationship Id="rId87" Type="http://schemas.openxmlformats.org/officeDocument/2006/relationships/hyperlink" Target="https://login.consultant.ru/link/?req=doc&amp;base=LAW&amp;n=450364&amp;date=02.03.2026&amp;dst=100034&amp;field=134&amp;demo=2" TargetMode = "External"/><Relationship Id="rId88" Type="http://schemas.openxmlformats.org/officeDocument/2006/relationships/hyperlink" Target="https://login.consultant.ru/link/?req=doc&amp;base=LAW&amp;n=450364&amp;date=02.03.2026&amp;dst=100037&amp;field=134&amp;demo=2" TargetMode = "External"/><Relationship Id="rId89" Type="http://schemas.openxmlformats.org/officeDocument/2006/relationships/hyperlink" Target="https://login.consultant.ru/link/?req=doc&amp;base=LAW&amp;n=450364&amp;date=02.03.2026&amp;dst=100038&amp;field=134&amp;demo=2" TargetMode = "External"/><Relationship Id="rId90" Type="http://schemas.openxmlformats.org/officeDocument/2006/relationships/hyperlink" Target="https://login.consultant.ru/link/?req=doc&amp;base=LAW&amp;n=450364&amp;date=02.03.2026&amp;dst=100039&amp;field=134&amp;demo=2" TargetMode = "External"/><Relationship Id="rId91" Type="http://schemas.openxmlformats.org/officeDocument/2006/relationships/hyperlink" Target="https://login.consultant.ru/link/?req=doc&amp;base=LAW&amp;n=485699&amp;date=02.03.2026&amp;dst=100024&amp;field=134&amp;demo=2" TargetMode = "External"/><Relationship Id="rId92" Type="http://schemas.openxmlformats.org/officeDocument/2006/relationships/hyperlink" Target="https://login.consultant.ru/link/?req=doc&amp;base=LAW&amp;n=520567&amp;date=02.03.2026&amp;dst=100195&amp;field=134&amp;demo=2" TargetMode = "External"/><Relationship Id="rId93" Type="http://schemas.openxmlformats.org/officeDocument/2006/relationships/hyperlink" Target="https://login.consultant.ru/link/?req=doc&amp;base=LAW&amp;n=520567&amp;date=02.03.2026&amp;dst=100196&amp;field=134&amp;demo=2" TargetMode = "External"/><Relationship Id="rId94" Type="http://schemas.openxmlformats.org/officeDocument/2006/relationships/hyperlink" Target="https://login.consultant.ru/link/?req=doc&amp;base=LAW&amp;n=440864&amp;date=02.03.2026&amp;dst=100010&amp;field=134&amp;demo=2" TargetMode = "External"/><Relationship Id="rId95" Type="http://schemas.openxmlformats.org/officeDocument/2006/relationships/hyperlink" Target="https://login.consultant.ru/link/?req=doc&amp;base=LAW&amp;n=520567&amp;date=02.03.2026&amp;dst=100198&amp;field=134&amp;demo=2" TargetMode = "External"/><Relationship Id="rId96" Type="http://schemas.openxmlformats.org/officeDocument/2006/relationships/hyperlink" Target="https://login.consultant.ru/link/?req=doc&amp;base=LAW&amp;n=520567&amp;date=02.03.2026&amp;dst=100200&amp;field=134&amp;demo=2" TargetMode = "External"/><Relationship Id="rId97" Type="http://schemas.openxmlformats.org/officeDocument/2006/relationships/hyperlink" Target="https://login.consultant.ru/link/?req=doc&amp;base=LAW&amp;n=520567&amp;date=02.03.2026&amp;dst=100201&amp;field=134&amp;demo=2" TargetMode = "External"/><Relationship Id="rId98" Type="http://schemas.openxmlformats.org/officeDocument/2006/relationships/hyperlink" Target="https://login.consultant.ru/link/?req=doc&amp;base=LAW&amp;n=485699&amp;date=02.03.2026&amp;dst=100025&amp;field=134&amp;demo=2" TargetMode = "External"/><Relationship Id="rId99" Type="http://schemas.openxmlformats.org/officeDocument/2006/relationships/hyperlink" Target="https://login.consultant.ru/link/?req=doc&amp;base=LAW&amp;n=440864&amp;date=02.03.2026&amp;dst=100010&amp;field=134&amp;demo=2" TargetMode = "External"/><Relationship Id="rId100" Type="http://schemas.openxmlformats.org/officeDocument/2006/relationships/hyperlink" Target="https://login.consultant.ru/link/?req=doc&amp;base=LAW&amp;n=440864&amp;date=02.03.2026&amp;dst=100010&amp;field=134&amp;demo=2" TargetMode = "External"/><Relationship Id="rId101" Type="http://schemas.openxmlformats.org/officeDocument/2006/relationships/hyperlink" Target="https://login.consultant.ru/link/?req=doc&amp;base=LAW&amp;n=485699&amp;date=02.03.2026&amp;dst=100026&amp;field=134&amp;demo=2" TargetMode = "External"/><Relationship Id="rId102" Type="http://schemas.openxmlformats.org/officeDocument/2006/relationships/hyperlink" Target="https://login.consultant.ru/link/?req=doc&amp;base=LAW&amp;n=485699&amp;date=02.03.2026&amp;dst=100027&amp;field=134&amp;demo=2" TargetMode = "External"/><Relationship Id="rId103" Type="http://schemas.openxmlformats.org/officeDocument/2006/relationships/hyperlink" Target="https://login.consultant.ru/link/?req=doc&amp;base=LAW&amp;n=440864&amp;date=02.03.2026&amp;dst=100010&amp;field=134&amp;demo=2" TargetMode = "External"/><Relationship Id="rId104" Type="http://schemas.openxmlformats.org/officeDocument/2006/relationships/hyperlink" Target="https://login.consultant.ru/link/?req=doc&amp;base=LAW&amp;n=520567&amp;date=02.03.2026&amp;dst=100214&amp;field=134&amp;demo=2" TargetMode = "External"/><Relationship Id="rId105" Type="http://schemas.openxmlformats.org/officeDocument/2006/relationships/hyperlink" Target="https://login.consultant.ru/link/?req=doc&amp;base=LAW&amp;n=509574&amp;date=02.03.2026&amp;dst=100052&amp;field=134&amp;demo=2" TargetMode = "External"/><Relationship Id="rId106" Type="http://schemas.openxmlformats.org/officeDocument/2006/relationships/hyperlink" Target="https://login.consultant.ru/link/?req=doc&amp;base=LAW&amp;n=509574&amp;date=02.03.2026&amp;demo=2" TargetMode = "External"/><Relationship Id="rId107" Type="http://schemas.openxmlformats.org/officeDocument/2006/relationships/hyperlink" Target="https://login.consultant.ru/link/?req=doc&amp;base=LAW&amp;n=520567&amp;date=02.03.2026&amp;dst=100215&amp;field=134&amp;demo=2" TargetMode = "External"/><Relationship Id="rId108" Type="http://schemas.openxmlformats.org/officeDocument/2006/relationships/hyperlink" Target="https://login.consultant.ru/link/?req=doc&amp;base=LAW&amp;n=520567&amp;date=02.03.2026&amp;dst=100217&amp;field=134&amp;demo=2" TargetMode = "External"/><Relationship Id="rId109" Type="http://schemas.openxmlformats.org/officeDocument/2006/relationships/hyperlink" Target="https://login.consultant.ru/link/?req=doc&amp;base=LAW&amp;n=520567&amp;date=02.03.2026&amp;dst=100219&amp;field=134&amp;demo=2" TargetMode = "External"/><Relationship Id="rId110" Type="http://schemas.openxmlformats.org/officeDocument/2006/relationships/hyperlink" Target="https://login.consultant.ru/link/?req=doc&amp;base=LAW&amp;n=317752&amp;date=02.03.2026&amp;dst=100011&amp;field=134&amp;demo=2" TargetMode = "External"/><Relationship Id="rId111" Type="http://schemas.openxmlformats.org/officeDocument/2006/relationships/hyperlink" Target="https://login.consultant.ru/link/?req=doc&amp;base=LAW&amp;n=485699&amp;date=02.03.2026&amp;dst=100028&amp;field=134&amp;demo=2" TargetMode = "External"/><Relationship Id="rId112" Type="http://schemas.openxmlformats.org/officeDocument/2006/relationships/hyperlink" Target="https://login.consultant.ru/link/?req=doc&amp;base=LAW&amp;n=520567&amp;date=02.03.2026&amp;dst=100220&amp;field=134&amp;demo=2" TargetMode = "External"/><Relationship Id="rId113" Type="http://schemas.openxmlformats.org/officeDocument/2006/relationships/hyperlink" Target="https://login.consultant.ru/link/?req=doc&amp;base=LAW&amp;n=450364&amp;date=02.03.2026&amp;dst=100041&amp;field=134&amp;demo=2" TargetMode = "External"/><Relationship Id="rId114" Type="http://schemas.openxmlformats.org/officeDocument/2006/relationships/hyperlink" Target="https://login.consultant.ru/link/?req=doc&amp;base=LAW&amp;n=520567&amp;date=02.03.2026&amp;dst=100221&amp;field=134&amp;demo=2" TargetMode = "External"/><Relationship Id="rId115" Type="http://schemas.openxmlformats.org/officeDocument/2006/relationships/hyperlink" Target="https://login.consultant.ru/link/?req=doc&amp;base=LAW&amp;n=440864&amp;date=02.03.2026&amp;dst=100010&amp;field=134&amp;demo=2" TargetMode = "External"/><Relationship Id="rId116" Type="http://schemas.openxmlformats.org/officeDocument/2006/relationships/hyperlink" Target="https://login.consultant.ru/link/?req=doc&amp;base=LAW&amp;n=520567&amp;date=02.03.2026&amp;dst=100223&amp;field=134&amp;demo=2" TargetMode = "External"/><Relationship Id="rId117" Type="http://schemas.openxmlformats.org/officeDocument/2006/relationships/hyperlink" Target="https://login.consultant.ru/link/?req=doc&amp;base=LAW&amp;n=485699&amp;date=02.03.2026&amp;dst=100029&amp;field=134&amp;demo=2" TargetMode = "External"/><Relationship Id="rId118" Type="http://schemas.openxmlformats.org/officeDocument/2006/relationships/hyperlink" Target="https://login.consultant.ru/link/?req=doc&amp;base=LAW&amp;n=440864&amp;date=02.03.2026&amp;dst=100010&amp;field=134&amp;demo=2" TargetMode = "External"/><Relationship Id="rId119" Type="http://schemas.openxmlformats.org/officeDocument/2006/relationships/hyperlink" Target="https://login.consultant.ru/link/?req=doc&amp;base=LAW&amp;n=440864&amp;date=02.03.2026&amp;dst=100010&amp;field=134&amp;demo=2" TargetMode = "External"/><Relationship Id="rId120" Type="http://schemas.openxmlformats.org/officeDocument/2006/relationships/hyperlink" Target="https://login.consultant.ru/link/?req=doc&amp;base=LAW&amp;n=485699&amp;date=02.03.2026&amp;dst=100030&amp;field=134&amp;demo=2" TargetMode = "External"/><Relationship Id="rId121" Type="http://schemas.openxmlformats.org/officeDocument/2006/relationships/hyperlink" Target="https://login.consultant.ru/link/?req=doc&amp;base=LAW&amp;n=450364&amp;date=02.03.2026&amp;dst=100041&amp;field=134&amp;demo=2" TargetMode = "External"/><Relationship Id="rId122" Type="http://schemas.openxmlformats.org/officeDocument/2006/relationships/hyperlink" Target="https://login.consultant.ru/link/?req=doc&amp;base=LAW&amp;n=520567&amp;date=02.03.2026&amp;dst=100225&amp;field=134&amp;demo=2" TargetMode = "External"/><Relationship Id="rId123" Type="http://schemas.openxmlformats.org/officeDocument/2006/relationships/hyperlink" Target="https://login.consultant.ru/link/?req=doc&amp;base=LAW&amp;n=520567&amp;date=02.03.2026&amp;dst=100226&amp;field=134&amp;demo=2" TargetMode = "External"/><Relationship Id="rId124" Type="http://schemas.openxmlformats.org/officeDocument/2006/relationships/hyperlink" Target="https://login.consultant.ru/link/?req=doc&amp;base=LAW&amp;n=509574&amp;date=02.03.2026&amp;dst=100052&amp;field=134&amp;demo=2" TargetMode = "External"/><Relationship Id="rId125" Type="http://schemas.openxmlformats.org/officeDocument/2006/relationships/hyperlink" Target="https://login.consultant.ru/link/?req=doc&amp;base=LAW&amp;n=509574&amp;date=02.03.2026&amp;demo=2" TargetMode = "External"/><Relationship Id="rId126" Type="http://schemas.openxmlformats.org/officeDocument/2006/relationships/hyperlink" Target="https://login.consultant.ru/link/?req=doc&amp;base=LAW&amp;n=527179&amp;date=02.03.2026&amp;dst=101331&amp;field=134&amp;demo=2" TargetMode = "External"/><Relationship Id="rId127" Type="http://schemas.openxmlformats.org/officeDocument/2006/relationships/hyperlink" Target="https://login.consultant.ru/link/?req=doc&amp;base=LAW&amp;n=495539&amp;date=02.03.2026&amp;dst=100010&amp;field=134&amp;demo=2" TargetMode = "External"/><Relationship Id="rId128" Type="http://schemas.openxmlformats.org/officeDocument/2006/relationships/hyperlink" Target="https://login.consultant.ru/link/?req=doc&amp;base=LAW&amp;n=520567&amp;date=02.03.2026&amp;dst=100228&amp;field=134&amp;demo=2" TargetMode = "External"/><Relationship Id="rId129" Type="http://schemas.openxmlformats.org/officeDocument/2006/relationships/hyperlink" Target="https://login.consultant.ru/link/?req=doc&amp;base=LAW&amp;n=520567&amp;date=02.03.2026&amp;dst=100230&amp;field=134&amp;demo=2" TargetMode = "External"/><Relationship Id="rId130" Type="http://schemas.openxmlformats.org/officeDocument/2006/relationships/hyperlink" Target="https://login.consultant.ru/link/?req=doc&amp;base=LAW&amp;n=317752&amp;date=02.03.2026&amp;dst=100011&amp;field=134&amp;demo=2" TargetMode = "External"/><Relationship Id="rId131" Type="http://schemas.openxmlformats.org/officeDocument/2006/relationships/hyperlink" Target="https://login.consultant.ru/link/?req=doc&amp;base=LAW&amp;n=485699&amp;date=02.03.2026&amp;dst=100031&amp;field=134&amp;demo=2" TargetMode = "External"/><Relationship Id="rId132" Type="http://schemas.openxmlformats.org/officeDocument/2006/relationships/hyperlink" Target="https://login.consultant.ru/link/?req=doc&amp;base=LAW&amp;n=485699&amp;date=02.03.2026&amp;dst=100031&amp;field=134&amp;demo=2" TargetMode = "External"/><Relationship Id="rId133" Type="http://schemas.openxmlformats.org/officeDocument/2006/relationships/hyperlink" Target="https://login.consultant.ru/link/?req=doc&amp;base=LAW&amp;n=305824&amp;date=02.03.2026&amp;demo=2" TargetMode = "External"/><Relationship Id="rId134" Type="http://schemas.openxmlformats.org/officeDocument/2006/relationships/hyperlink" Target="https://login.consultant.ru/link/?req=doc&amp;base=LAW&amp;n=305824&amp;date=02.03.2026&amp;dst=100010&amp;field=134&amp;demo=2" TargetMode = "External"/><Relationship Id="rId135" Type="http://schemas.openxmlformats.org/officeDocument/2006/relationships/hyperlink" Target="https://login.consultant.ru/link/?req=doc&amp;base=LAW&amp;n=305824&amp;date=02.03.2026&amp;dst=100047&amp;field=134&amp;demo=2" TargetMode = "External"/><Relationship Id="rId136" Type="http://schemas.openxmlformats.org/officeDocument/2006/relationships/hyperlink" Target="https://login.consultant.ru/link/?req=doc&amp;base=LAW&amp;n=305824&amp;date=02.03.2026&amp;dst=100094&amp;field=134&amp;demo=2" TargetMode = "External"/><Relationship Id="rId137" Type="http://schemas.openxmlformats.org/officeDocument/2006/relationships/hyperlink" Target="https://login.consultant.ru/link/?req=doc&amp;base=LAW&amp;n=305824&amp;date=02.03.2026&amp;dst=100114&amp;field=134&amp;demo=2" TargetMode = "External"/><Relationship Id="rId138" Type="http://schemas.openxmlformats.org/officeDocument/2006/relationships/image" Target="media/image2.wmf"/><Relationship Id="rId139" Type="http://schemas.openxmlformats.org/officeDocument/2006/relationships/image" Target="media/image3.wmf"/><Relationship Id="rId140" Type="http://schemas.openxmlformats.org/officeDocument/2006/relationships/hyperlink" Target="https://login.consultant.ru/link/?req=doc&amp;base=LAW&amp;n=305824&amp;date=02.03.2026&amp;dst=100142&amp;field=134&amp;demo=2" TargetMode = "External"/><Relationship Id="rId141" Type="http://schemas.openxmlformats.org/officeDocument/2006/relationships/hyperlink" Target="https://login.consultant.ru/link/?req=doc&amp;base=LAW&amp;n=305824&amp;date=02.03.2026&amp;dst=100144&amp;field=134&amp;demo=2" TargetMode = "External"/><Relationship Id="rId142" Type="http://schemas.openxmlformats.org/officeDocument/2006/relationships/hyperlink" Target="https://login.consultant.ru/link/?req=doc&amp;base=LAW&amp;n=305824&amp;date=02.03.2026&amp;dst=100148&amp;field=134&amp;demo=2" TargetMode = "External"/><Relationship Id="rId143" Type="http://schemas.openxmlformats.org/officeDocument/2006/relationships/hyperlink" Target="https://login.consultant.ru/link/?req=doc&amp;base=LAW&amp;n=305824&amp;date=02.03.2026&amp;dst=100176&amp;field=134&amp;demo=2" TargetMode = "External"/><Relationship Id="rId144" Type="http://schemas.openxmlformats.org/officeDocument/2006/relationships/hyperlink" Target="https://login.consultant.ru/link/?req=doc&amp;base=LAW&amp;n=305824&amp;date=02.03.2026&amp;dst=100215&amp;field=134&amp;demo=2" TargetMode = "External"/><Relationship Id="rId145" Type="http://schemas.openxmlformats.org/officeDocument/2006/relationships/hyperlink" Target="https://login.consultant.ru/link/?req=doc&amp;base=LAW&amp;n=305824&amp;date=02.03.2026&amp;dst=100221&amp;field=134&amp;demo=2" TargetMode = "External"/><Relationship Id="rId146" Type="http://schemas.openxmlformats.org/officeDocument/2006/relationships/hyperlink" Target="https://login.consultant.ru/link/?req=doc&amp;base=LAW&amp;n=305824&amp;date=02.03.2026&amp;dst=100222&amp;field=134&amp;demo=2" TargetMode = "External"/><Relationship Id="rId147" Type="http://schemas.openxmlformats.org/officeDocument/2006/relationships/hyperlink" Target="https://login.consultant.ru/link/?req=doc&amp;base=LAW&amp;n=305824&amp;date=02.03.2026&amp;dst=100230&amp;field=134&amp;demo=2" TargetMode = "External"/><Relationship Id="rId148" Type="http://schemas.openxmlformats.org/officeDocument/2006/relationships/hyperlink" Target="https://login.consultant.ru/link/?req=doc&amp;base=LAW&amp;n=305824&amp;date=02.03.2026&amp;dst=100221&amp;field=134&amp;demo=2" TargetMode = "External"/><Relationship Id="rId149" Type="http://schemas.openxmlformats.org/officeDocument/2006/relationships/hyperlink" Target="https://login.consultant.ru/link/?req=doc&amp;base=LAW&amp;n=305824&amp;date=02.03.2026&amp;dst=100299&amp;field=134&amp;demo=2" TargetMode = "External"/><Relationship Id="rId150" Type="http://schemas.openxmlformats.org/officeDocument/2006/relationships/hyperlink" Target="https://login.consultant.ru/link/?req=doc&amp;base=LAW&amp;n=321351&amp;date=02.03.2026&amp;demo=2" TargetMode = "External"/><Relationship Id="rId151" Type="http://schemas.openxmlformats.org/officeDocument/2006/relationships/hyperlink" Target="https://login.consultant.ru/link/?req=doc&amp;base=LAW&amp;n=321351&amp;date=02.03.2026&amp;dst=100012&amp;field=134&amp;demo=2" TargetMode = "External"/><Relationship Id="rId152" Type="http://schemas.openxmlformats.org/officeDocument/2006/relationships/hyperlink" Target="https://login.consultant.ru/link/?req=doc&amp;base=LAW&amp;n=321351&amp;date=02.03.2026&amp;dst=100015&amp;field=134&amp;demo=2" TargetMode = "External"/><Relationship Id="rId153" Type="http://schemas.openxmlformats.org/officeDocument/2006/relationships/hyperlink" Target="https://login.consultant.ru/link/?req=doc&amp;base=LAW&amp;n=321351&amp;date=02.03.2026&amp;dst=100039&amp;field=134&amp;demo=2" TargetMode = "External"/><Relationship Id="rId154" Type="http://schemas.openxmlformats.org/officeDocument/2006/relationships/hyperlink" Target="https://login.consultant.ru/link/?req=doc&amp;base=LAW&amp;n=321351&amp;date=02.03.2026&amp;dst=100040&amp;field=134&amp;demo=2" TargetMode = "External"/><Relationship Id="rId155" Type="http://schemas.openxmlformats.org/officeDocument/2006/relationships/hyperlink" Target="https://login.consultant.ru/link/?req=doc&amp;base=LAW&amp;n=321351&amp;date=02.03.2026&amp;dst=100042&amp;field=134&amp;demo=2" TargetMode = "External"/><Relationship Id="rId156" Type="http://schemas.openxmlformats.org/officeDocument/2006/relationships/hyperlink" Target="https://login.consultant.ru/link/?req=doc&amp;base=LAW&amp;n=321351&amp;date=02.03.2026&amp;dst=100044&amp;field=134&amp;demo=2" TargetMode = "External"/><Relationship Id="rId157" Type="http://schemas.openxmlformats.org/officeDocument/2006/relationships/hyperlink" Target="https://login.consultant.ru/link/?req=doc&amp;base=LAW&amp;n=321351&amp;date=02.03.2026&amp;dst=100044&amp;field=134&amp;demo=2" TargetMode = "External"/><Relationship Id="rId158" Type="http://schemas.openxmlformats.org/officeDocument/2006/relationships/hyperlink" Target="https://login.consultant.ru/link/?req=doc&amp;base=LAW&amp;n=321351&amp;date=02.03.2026&amp;dst=100045&amp;field=134&amp;demo=2" TargetMode = "External"/><Relationship Id="rId159" Type="http://schemas.openxmlformats.org/officeDocument/2006/relationships/hyperlink" Target="https://login.consultant.ru/link/?req=doc&amp;base=LAW&amp;n=321351&amp;date=02.03.2026&amp;dst=100065&amp;field=134&amp;demo=2" TargetMode = "External"/><Relationship Id="rId160" Type="http://schemas.openxmlformats.org/officeDocument/2006/relationships/hyperlink" Target="https://login.consultant.ru/link/?req=doc&amp;base=LAW&amp;n=321351&amp;date=02.03.2026&amp;dst=100139&amp;field=134&amp;demo=2" TargetMode = "External"/><Relationship Id="rId161" Type="http://schemas.openxmlformats.org/officeDocument/2006/relationships/hyperlink" Target="https://login.consultant.ru/link/?req=doc&amp;base=LAW&amp;n=321351&amp;date=02.03.2026&amp;dst=100262&amp;field=134&amp;demo=2" TargetMode = "External"/><Relationship Id="rId162" Type="http://schemas.openxmlformats.org/officeDocument/2006/relationships/hyperlink" Target="https://login.consultant.ru/link/?req=doc&amp;base=LAW&amp;n=321351&amp;date=02.03.2026&amp;dst=100386&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Минэнерго России от 28.12.2020 N 1195
(ред. от 28.04.2023)
"Об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dc:title>
  <dcterms:created xsi:type="dcterms:W3CDTF">2026-03-02T17:42:16Z</dcterms:created>
</cp:coreProperties>
</file>